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settings.xml" ContentType="application/vnd.openxmlformats-officedocument.wordprocessingml.settings+xml"/>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tbl>
      <w:tblPr>
        <w:tblW w:w="9360" w:type="dxa"/>
        <w:jc w:val="left"/>
        <w:tblInd w:w="0" w:type="dxa"/>
        <w:tblLayout w:type="fixed"/>
        <w:tblCellMar>
          <w:top w:w="200" w:type="dxa"/>
          <w:left w:w="240" w:type="dxa"/>
          <w:bottom w:w="200" w:type="dxa"/>
          <w:right w:w="240" w:type="dxa"/>
        </w:tblCellMar>
      </w:tblPr>
      <w:tblGrid>
        <w:gridCol w:w="9360"/>
      </w:tblGrid>
      <w:tr>
        <w:trPr/>
        <w:tc>
          <w:tcPr>
            <w:tcW w:w="9360" w:type="dxa"/>
            <w:tcBorders>
              <w:top w:val="single" w:sz="10" w:space="0" w:color="C9A24E"/>
              <w:left w:val="single" w:sz="10" w:space="0" w:color="C9A24E"/>
              <w:bottom w:val="single" w:sz="10" w:space="0" w:color="C9A24E"/>
              <w:right w:val="single" w:sz="10" w:space="0" w:color="C9A24E"/>
            </w:tcBorders>
            <w:shd w:fill="FAF6ED" w:val="clear"/>
          </w:tcPr>
          <w:p>
            <w:pPr>
              <w:pStyle w:val="Normal"/>
              <w:spacing w:before="60" w:after="60"/>
              <w:jc w:val="left"/>
              <w:rPr/>
            </w:pPr>
            <w:r>
              <w:rPr>
                <w:b/>
                <w:bCs/>
                <w:sz w:val="22"/>
                <w:szCs w:val="22"/>
              </w:rPr>
              <w:t>ADVANCE PREVIEW EDITION</w:t>
            </w:r>
          </w:p>
          <w:p>
            <w:pPr>
              <w:pStyle w:val="Normal"/>
              <w:spacing w:before="120" w:after="60"/>
              <w:jc w:val="left"/>
              <w:rPr/>
            </w:pPr>
            <w:r>
              <w:rPr>
                <w:sz w:val="22"/>
                <w:szCs w:val="22"/>
              </w:rPr>
              <w:t>The Linehaul M&amp;A Blueprint™</w:t>
            </w:r>
          </w:p>
          <w:p>
            <w:pPr>
              <w:pStyle w:val="Normal"/>
              <w:spacing w:before="120" w:after="60"/>
              <w:jc w:val="left"/>
              <w:rPr/>
            </w:pPr>
            <w:r>
              <w:rPr>
                <w:i/>
                <w:iCs/>
                <w:sz w:val="22"/>
                <w:szCs w:val="22"/>
              </w:rPr>
              <w:t>How to Value, Structure, and Close Linehaul Service Provider Acquisitions</w:t>
            </w:r>
          </w:p>
          <w:p>
            <w:pPr>
              <w:pStyle w:val="Normal"/>
              <w:spacing w:before="120" w:after="60"/>
              <w:jc w:val="left"/>
              <w:rPr/>
            </w:pPr>
            <w:r>
              <w:rPr>
                <w:sz w:val="22"/>
                <w:szCs w:val="22"/>
              </w:rPr>
              <w:t>Timothy L. Goff</w:t>
            </w:r>
          </w:p>
          <w:p>
            <w:pPr>
              <w:pStyle w:val="Normal"/>
              <w:spacing w:before="120" w:after="60"/>
              <w:jc w:val="left"/>
              <w:rPr/>
            </w:pPr>
            <w:r>
              <w:rPr>
                <w:sz w:val="22"/>
                <w:szCs w:val="22"/>
              </w:rPr>
              <w:t>CEO &amp; Founder, myGroundForce®  ·  Former FedEx Ground linehaul service provider, gold medal exit</w:t>
            </w:r>
          </w:p>
          <w:p>
            <w:pPr>
              <w:pStyle w:val="Normal"/>
              <w:spacing w:before="120" w:after="60"/>
              <w:jc w:val="left"/>
              <w:rPr/>
            </w:pPr>
            <w:r>
              <w:rPr>
                <w:sz w:val="22"/>
                <w:szCs w:val="22"/>
              </w:rPr>
              <w:t>60 trucks  ·  9 domiciles  ·  Gold Medal exit</w:t>
            </w:r>
          </w:p>
          <w:p>
            <w:pPr>
              <w:pStyle w:val="Normal"/>
              <w:spacing w:before="120" w:after="60"/>
              <w:jc w:val="left"/>
              <w:rPr/>
            </w:pPr>
            <w:r>
              <w:rPr>
                <w:sz w:val="22"/>
                <w:szCs w:val="22"/>
              </w:rPr>
              <w:t>Co-Founder, Linehaul Summit  ·  M&amp;A Advisor</w:t>
            </w:r>
          </w:p>
          <w:p>
            <w:pPr>
              <w:pStyle w:val="Normal"/>
              <w:spacing w:before="120" w:after="60"/>
              <w:jc w:val="left"/>
              <w:rPr/>
            </w:pPr>
            <w:r>
              <w:rPr>
                <w:i/>
                <w:iCs/>
                <w:sz w:val="22"/>
                <w:szCs w:val="22"/>
              </w:rPr>
              <w:t>This preview contains selected excerpts from the complete manuscript, including the Preface, the Introduction, the opening of Chapter 1, and the complete Sustainable Earnings Doctrine™ normalization framework from Chapter 8.</w:t>
            </w:r>
          </w:p>
          <w:p>
            <w:pPr>
              <w:pStyle w:val="Normal"/>
              <w:spacing w:before="120" w:after="60"/>
              <w:jc w:val="left"/>
              <w:rPr/>
            </w:pPr>
            <w:r>
              <w:rPr>
                <w:b/>
                <w:bCs/>
                <w:sz w:val="22"/>
                <w:szCs w:val="22"/>
              </w:rPr>
              <w:t>The complete book — 20 chapters, 14 proprietary analytical frameworks, 7 named market dynamics, 14 consolidated exhibits — will be available for pre-order at summit pricing.</w:t>
            </w:r>
          </w:p>
        </w:tc>
      </w:tr>
    </w:tbl>
    <w:p>
      <w:pPr>
        <w:pStyle w:val="Normal"/>
        <w:spacing w:before="0" w:after="120"/>
        <w:rPr/>
      </w:pPr>
      <w:r>
        <w:rPr/>
      </w:r>
      <w:r>
        <w:br w:type="page"/>
      </w:r>
    </w:p>
    <w:p>
      <w:pPr>
        <w:pStyle w:val="Heading1"/>
        <w:spacing w:before="480" w:after="360"/>
        <w:jc w:val="center"/>
        <w:rPr/>
      </w:pPr>
      <w:r>
        <w:rPr>
          <w:b/>
          <w:bCs/>
          <w:color w:val="1F2F4F"/>
          <w:sz w:val="36"/>
          <w:szCs w:val="36"/>
        </w:rPr>
        <w:t>ABOUT THIS PREVIEW</w:t>
      </w:r>
    </w:p>
    <w:p>
      <w:pPr>
        <w:pStyle w:val="Normal"/>
        <w:spacing w:before="0" w:after="160"/>
        <w:jc w:val="both"/>
        <w:rPr/>
      </w:pPr>
      <w:r>
        <w:rPr/>
        <w:t xml:space="preserve">This is an advance excerpt from </w:t>
      </w:r>
      <w:r>
        <w:rPr>
          <w:i/>
          <w:iCs/>
        </w:rPr>
        <w:t>The Linehaul M&amp;A Blueprint™</w:t>
      </w:r>
      <w:r>
        <w:rPr/>
        <w:t>, scheduled for publication in late 2026. It is provided exclusively to attendees of the 5th Annual Linehaul Summit as part of the book's pre-sale program.</w:t>
      </w:r>
    </w:p>
    <w:p>
      <w:pPr>
        <w:pStyle w:val="Normal"/>
        <w:spacing w:before="0" w:after="160"/>
        <w:jc w:val="both"/>
        <w:rPr/>
      </w:pPr>
      <w:r>
        <w:rPr/>
        <w:t>The preview is designed to give you a genuine experience of the book's analytical depth and voice — not a summary or a sales document. What you will find in these pages is the actual manuscript: the Preface, which establishes why this book was written and what building and operating a linehaul service provider business at meaningful scale taught about what buyers and sellers consistently get wrong; the Introduction, which makes the case for why the absence of an analytical standard has cost this market billions of dollars; the opening of Chapter 1, which defines the Information Asymmetry Problem™ that governs every transaction in this market; and the complete Sustainable Earnings Doctrine™ normalization framework from Chapter 8, including the five specific adjustments that convert reported EBITDA into the only number worth basing a purchase price on.</w:t>
      </w:r>
    </w:p>
    <w:p>
      <w:pPr>
        <w:pStyle w:val="Normal"/>
        <w:spacing w:before="0" w:after="160"/>
        <w:jc w:val="both"/>
        <w:rPr/>
      </w:pPr>
      <w:r>
        <w:rPr/>
        <w:t>What the preview does not contain is intentional. The Contract Risk Index™, the Five Risk Pillars™, the Linehaul Multiple Matrix™, the Capital Stack Playbook™, the Stress Doctrine™, the Linehaul Due Diligence System™, the Settlement Intelligence framework, and all four case studies are in the complete book. This preview gives you enough to understand the problem and to trust the method. The complete book gives you the tools to use it.</w:t>
      </w:r>
    </w:p>
    <w:tbl>
      <w:tblPr>
        <w:tblW w:w="9360" w:type="dxa"/>
        <w:jc w:val="left"/>
        <w:tblInd w:w="0" w:type="dxa"/>
        <w:tblLayout w:type="fixed"/>
        <w:tblCellMar>
          <w:top w:w="200" w:type="dxa"/>
          <w:left w:w="240" w:type="dxa"/>
          <w:bottom w:w="200" w:type="dxa"/>
          <w:right w:w="240" w:type="dxa"/>
        </w:tblCellMar>
      </w:tblPr>
      <w:tblGrid>
        <w:gridCol w:w="9360"/>
      </w:tblGrid>
      <w:tr>
        <w:trPr/>
        <w:tc>
          <w:tcPr>
            <w:tcW w:w="9360" w:type="dxa"/>
            <w:tcBorders>
              <w:top w:val="single" w:sz="10" w:space="0" w:color="C9A24E"/>
              <w:left w:val="single" w:sz="10" w:space="0" w:color="C9A24E"/>
              <w:bottom w:val="single" w:sz="10" w:space="0" w:color="C9A24E"/>
              <w:right w:val="single" w:sz="10" w:space="0" w:color="C9A24E"/>
            </w:tcBorders>
            <w:shd w:fill="FAF6ED" w:val="clear"/>
          </w:tcPr>
          <w:p>
            <w:pPr>
              <w:pStyle w:val="Normal"/>
              <w:spacing w:before="60" w:after="60"/>
              <w:jc w:val="left"/>
              <w:rPr/>
            </w:pPr>
            <w:r>
              <w:rPr>
                <w:b/>
                <w:bCs/>
                <w:sz w:val="22"/>
                <w:szCs w:val="22"/>
              </w:rPr>
              <w:t>WHAT'S IN THIS PREVIEW VS. THE COMPLETE BOOK</w:t>
            </w:r>
          </w:p>
          <w:p>
            <w:pPr>
              <w:pStyle w:val="Normal"/>
              <w:spacing w:before="120" w:after="60"/>
              <w:jc w:val="left"/>
              <w:rPr/>
            </w:pPr>
            <w:r>
              <w:rPr>
                <w:b/>
                <w:bCs/>
                <w:sz w:val="22"/>
                <w:szCs w:val="22"/>
              </w:rPr>
              <w:t xml:space="preserve">✓ </w:t>
            </w:r>
            <w:r>
              <w:rPr>
                <w:b/>
                <w:bCs/>
                <w:sz w:val="22"/>
                <w:szCs w:val="22"/>
              </w:rPr>
              <w:t>Preface</w:t>
            </w:r>
            <w:r>
              <w:rPr>
                <w:sz w:val="22"/>
                <w:szCs w:val="22"/>
              </w:rPr>
              <w:t xml:space="preserve"> — Why this book exists and what five years inside this market taught</w:t>
            </w:r>
          </w:p>
          <w:p>
            <w:pPr>
              <w:pStyle w:val="Normal"/>
              <w:spacing w:before="120" w:after="60"/>
              <w:jc w:val="left"/>
              <w:rPr/>
            </w:pPr>
            <w:r>
              <w:rPr>
                <w:b/>
                <w:bCs/>
                <w:sz w:val="22"/>
                <w:szCs w:val="22"/>
              </w:rPr>
              <w:t xml:space="preserve">✓ </w:t>
            </w:r>
            <w:r>
              <w:rPr>
                <w:b/>
                <w:bCs/>
                <w:sz w:val="22"/>
                <w:szCs w:val="22"/>
              </w:rPr>
              <w:t>Introduction</w:t>
            </w:r>
            <w:r>
              <w:rPr>
                <w:sz w:val="22"/>
                <w:szCs w:val="22"/>
              </w:rPr>
              <w:t xml:space="preserve"> — The literature gap, the market case, the analytical standard</w:t>
            </w:r>
          </w:p>
          <w:p>
            <w:pPr>
              <w:pStyle w:val="Normal"/>
              <w:spacing w:before="120" w:after="60"/>
              <w:jc w:val="left"/>
              <w:rPr/>
            </w:pPr>
            <w:r>
              <w:rPr>
                <w:b/>
                <w:bCs/>
                <w:sz w:val="22"/>
                <w:szCs w:val="22"/>
              </w:rPr>
              <w:t xml:space="preserve">✓ </w:t>
            </w:r>
            <w:r>
              <w:rPr>
                <w:b/>
                <w:bCs/>
                <w:sz w:val="22"/>
                <w:szCs w:val="22"/>
              </w:rPr>
              <w:t>Chapter 1</w:t>
            </w:r>
            <w:r>
              <w:rPr>
                <w:sz w:val="22"/>
                <w:szCs w:val="22"/>
              </w:rPr>
              <w:t xml:space="preserve"> — The Information Asymmetry Problem™ (opening)</w:t>
            </w:r>
          </w:p>
          <w:p>
            <w:pPr>
              <w:pStyle w:val="Normal"/>
              <w:spacing w:before="120" w:after="60"/>
              <w:jc w:val="left"/>
              <w:rPr/>
            </w:pPr>
            <w:r>
              <w:rPr>
                <w:b/>
                <w:bCs/>
                <w:sz w:val="22"/>
                <w:szCs w:val="22"/>
              </w:rPr>
              <w:t xml:space="preserve">✓ </w:t>
            </w:r>
            <w:r>
              <w:rPr>
                <w:b/>
                <w:bCs/>
                <w:sz w:val="22"/>
                <w:szCs w:val="22"/>
              </w:rPr>
              <w:t>Chapter 8</w:t>
            </w:r>
            <w:r>
              <w:rPr>
                <w:sz w:val="22"/>
                <w:szCs w:val="22"/>
              </w:rPr>
              <w:t xml:space="preserve"> — The Sustainable Earnings Doctrine™ (complete normalization framework + Master Valuation Instrument illustration)</w:t>
            </w:r>
          </w:p>
          <w:p>
            <w:pPr>
              <w:pStyle w:val="Normal"/>
              <w:spacing w:before="120" w:after="60"/>
              <w:jc w:val="left"/>
              <w:rPr/>
            </w:pPr>
            <w:r>
              <w:rPr>
                <w:sz w:val="22"/>
                <w:szCs w:val="22"/>
              </w:rPr>
              <w:t xml:space="preserve">— </w:t>
            </w:r>
            <w:r>
              <w:rPr>
                <w:sz w:val="22"/>
                <w:szCs w:val="22"/>
              </w:rPr>
              <w:t>Chapters 2–7, 9–13 — Contract Reality, Confirmation Bias, Capital Intensity, Five Risk Pillars™, CRI™, Institutionalization Effect™, Multiple Matrix™, Capital Stack Playbook™, Stress Doctrine™, Due Diligence System™</w:t>
            </w:r>
          </w:p>
          <w:p>
            <w:pPr>
              <w:pStyle w:val="Normal"/>
              <w:spacing w:before="120" w:after="60"/>
              <w:jc w:val="left"/>
              <w:rPr/>
            </w:pPr>
            <w:r>
              <w:rPr>
                <w:sz w:val="22"/>
                <w:szCs w:val="22"/>
              </w:rPr>
              <w:t xml:space="preserve">— </w:t>
            </w:r>
            <w:r>
              <w:rPr>
                <w:sz w:val="22"/>
                <w:szCs w:val="22"/>
              </w:rPr>
              <w:t>Chapter 14 — Settlement Intelligence and WorthX™ Due Diligence</w:t>
            </w:r>
          </w:p>
          <w:p>
            <w:pPr>
              <w:pStyle w:val="Normal"/>
              <w:spacing w:before="120" w:after="60"/>
              <w:jc w:val="left"/>
              <w:rPr/>
            </w:pPr>
            <w:r>
              <w:rPr>
                <w:sz w:val="22"/>
                <w:szCs w:val="22"/>
              </w:rPr>
              <w:t xml:space="preserve">— </w:t>
            </w:r>
            <w:r>
              <w:rPr>
                <w:sz w:val="22"/>
                <w:szCs w:val="22"/>
              </w:rPr>
              <w:t>Chapters 15–16 — Negotiation Framework, Structuring the Deal</w:t>
            </w:r>
          </w:p>
          <w:p>
            <w:pPr>
              <w:pStyle w:val="Normal"/>
              <w:spacing w:before="120" w:after="60"/>
              <w:jc w:val="left"/>
              <w:rPr/>
            </w:pPr>
            <w:r>
              <w:rPr>
                <w:sz w:val="22"/>
                <w:szCs w:val="22"/>
              </w:rPr>
              <w:t xml:space="preserve">— </w:t>
            </w:r>
            <w:r>
              <w:rPr>
                <w:sz w:val="22"/>
                <w:szCs w:val="22"/>
              </w:rPr>
              <w:t>Chapters 17–20 — Four case studies applying every framework</w:t>
            </w:r>
          </w:p>
          <w:p>
            <w:pPr>
              <w:pStyle w:val="Normal"/>
              <w:spacing w:before="120" w:after="60"/>
              <w:jc w:val="left"/>
              <w:rPr/>
            </w:pPr>
            <w:r>
              <w:rPr>
                <w:sz w:val="22"/>
                <w:szCs w:val="22"/>
              </w:rPr>
              <w:t xml:space="preserve">— </w:t>
            </w:r>
            <w:r>
              <w:rPr>
                <w:sz w:val="22"/>
                <w:szCs w:val="22"/>
              </w:rPr>
              <w:t>14 consolidated Analytical Exhibits and 5 licensed analytical instruments</w:t>
            </w:r>
          </w:p>
        </w:tc>
      </w:tr>
    </w:tbl>
    <w:p>
      <w:pPr>
        <w:pStyle w:val="Normal"/>
        <w:spacing w:before="0" w:after="120"/>
        <w:rPr/>
      </w:pPr>
      <w:r>
        <w:rPr/>
      </w:r>
      <w:r>
        <w:br w:type="page"/>
      </w:r>
    </w:p>
    <w:p>
      <w:pPr>
        <w:pStyle w:val="Heading1"/>
        <w:spacing w:before="480" w:after="360"/>
        <w:jc w:val="center"/>
        <w:rPr/>
      </w:pPr>
      <w:r>
        <w:rPr>
          <w:b/>
          <w:bCs/>
          <w:color w:val="1F2F4F"/>
          <w:sz w:val="40"/>
          <w:szCs w:val="40"/>
        </w:rPr>
        <w:t>Preface</w:t>
      </w:r>
    </w:p>
    <w:p>
      <w:pPr>
        <w:pStyle w:val="Normal"/>
        <w:spacing w:before="0" w:after="160"/>
        <w:jc w:val="both"/>
        <w:rPr/>
      </w:pPr>
      <w:r>
        <w:rPr/>
        <w:t>This book exists because the market it describes does not yet have one.</w:t>
      </w:r>
    </w:p>
    <w:p>
      <w:pPr>
        <w:pStyle w:val="Normal"/>
        <w:spacing w:before="0" w:after="160"/>
        <w:jc w:val="both"/>
        <w:rPr/>
      </w:pPr>
      <w:r>
        <w:rPr/>
        <w:t>FedEx Ground linehaul service provider acquisitions are among the most active and financially consequential segments of the small business M&amp;A market. Approximately 1,700 service providers operate across the United States, running roughly 17,000 tractors. Hundreds of transactions occur each year. Billions of dollars in enterprise value are created, transferred, and in too many cases impaired — in a market where the information environment is structurally asymmetric, the analytical frameworks most buyers bring are insufficient for the specific characteristics of the business model, and the governing contract is almost universally misunderstood by the people whose financial futures depend on understanding it.</w:t>
      </w:r>
    </w:p>
    <w:p>
      <w:pPr>
        <w:pStyle w:val="Normal"/>
        <w:spacing w:before="0" w:after="160"/>
        <w:jc w:val="both"/>
        <w:rPr/>
      </w:pPr>
      <w:r>
        <w:rPr/>
        <w:t>I know this market from the inside. I operated as a FedEx Ground linehaul service provider, scaling from a small initial fleet to one of the larger linehaul operations in the network — running across multiple domiciles and states, with operations spanning multiple run types and a meaningful spot revenue book — and ultimately exited as a gold medal service provider.</w:t>
      </w:r>
    </w:p>
    <w:p>
      <w:pPr>
        <w:pStyle w:val="Normal"/>
        <w:spacing w:before="0" w:after="160"/>
        <w:jc w:val="both"/>
        <w:rPr/>
      </w:pPr>
      <w:r>
        <w:rPr/>
        <w:t>That experience is the foundation of everything in this book. Not the academic study of linehaul economics, but operating inside the system — managing drivers across multiple domiciles, navigating terminal relationships at scale, living through the capital demands of a growing fleet, and watching the gap between what the contract says and what operators believe it says play out across every dimension of the business. The frameworks here were not developed in a consulting room. They were developed in a network of terminals, dispatch offices, settlement statements, and driver conversations across an operation of meaningful scale and substantial duration in the network.</w:t>
      </w:r>
    </w:p>
    <w:p>
      <w:pPr>
        <w:pStyle w:val="Normal"/>
        <w:spacing w:before="0" w:after="160"/>
        <w:jc w:val="both"/>
        <w:rPr/>
      </w:pPr>
      <w:r>
        <w:rPr/>
        <w:t>While still operating, I founded myGroundForce® — not as a side project but as a direct response to what I was experiencing at scale. The platform was built by a service provider for service providers, designed around the specific requirements of the operating agreement rather than around the general assumptions of commercial trucking software. The return on implementing myGroundForce® in my own operations exceeded twenty times the cost of the system, measured in compliance cost reduction, deductible tier improvement under the agreement's tiered indemnification structure, operational efficiency, and driver management. When the platform's value became undeniable and the scale of the unmet need across the service provider community was clear, I left the network to build what the market needed.</w:t>
      </w:r>
    </w:p>
    <w:p>
      <w:pPr>
        <w:pStyle w:val="Normal"/>
        <w:spacing w:before="0" w:after="160"/>
        <w:jc w:val="both"/>
        <w:rPr/>
      </w:pPr>
      <w:r>
        <w:rPr/>
        <w:t>The patterns I observed through subsequent consulting work reinforced everything I had experienced as an operator. Buyers consistently lack the analytical framework to understand what they are purchasing. Sellers consistently present their earnings in ways that overstate durability — not out of bad faith, but because no standard existed to guide a more accurate presentation. Lenders consistently apply underwriting metrics drawn from other industries that do not reflect the specific capital and risk characteristics of linehaul businesses. And the governing contract — the foundation of every economic outcome in this market — is rarely read with the analytical attention its consequences deserve.</w:t>
      </w:r>
    </w:p>
    <w:p>
      <w:pPr>
        <w:pStyle w:val="Normal"/>
        <w:spacing w:before="0" w:after="160"/>
        <w:jc w:val="both"/>
        <w:rPr/>
      </w:pPr>
      <w:r>
        <w:rPr/>
        <w:t>The pattern that most consistently motivated this book is the gap between what buyers believe they are acquiring and what they are actually acquiring. Buyers believe they are acquiring protected revenue streams. The contract does not protect revenue. Buyers believe they are acquiring durable earnings. Those earnings are often partly composed of deferred capital, peak conditions that will normalize, and relationship capital that belongs to the departing owner rather than to the business. Buyers believe they are paying a fair price because a broker has told them comparable businesses trade at comparable multiples. The comparable businesses were often acquired by buyers operating under the same misunderstanding.</w:t>
      </w:r>
    </w:p>
    <w:p>
      <w:pPr>
        <w:pStyle w:val="Normal"/>
        <w:spacing w:before="0" w:after="160"/>
        <w:jc w:val="both"/>
        <w:rPr/>
      </w:pPr>
      <w:r>
        <w:rPr/>
        <w:t>The frameworks in this book were developed from direct operating experience and from years of evaluating these businesses on behalf of buyers, sellers, and lenders. The Contract Risk Index™ exists because I needed a way to consistently measure the risk that a business's revenue would change after an ownership transition. The Sustainable Earnings Doctrine™ exists because reported EBITDA is consistently misleading in ways that require specific adjustments. The Mileage Reality Doctrine™ exists because calendar fleet age is consistently used as a proxy for capital requirements when mileage is the correct measure. Each framework addresses a specific, recurring pattern in linehaul M&amp;A where the absence of a structured analytical tool led to outcomes that better information would have prevented.</w:t>
      </w:r>
    </w:p>
    <w:p>
      <w:pPr>
        <w:pStyle w:val="Normal"/>
        <w:spacing w:before="0" w:after="160"/>
        <w:jc w:val="both"/>
        <w:rPr/>
      </w:pPr>
      <w:r>
        <w:rPr/>
        <w:t>What gives the analysis its precision is the specific nature of the operational knowledge behind it. The Scheduled Maintenance Inspection Interval and its relationship to the Monthly Maintenance Report — and the fact that the carrier compares the two — is not knowledge that comes from reading the contract. It comes from submitting MMRs. The Unassigned Driver Event and its appearance in the operational performance dashboard as a real-time compliance signal is not knowledge that comes from studying ELD regulations. It comes from managing drivers across multiple domiciles and learning, through operational experience, what the carrier sees and when they see it. The per-driver retention probability framework — the four factors, the departure categories, the productivity gap calculation — is not knowledge from human resources literature. It comes from watching driver workforces respond to ownership changes and understanding, from direct observation, which drivers leave and why.</w:t>
      </w:r>
    </w:p>
    <w:p>
      <w:pPr>
        <w:pStyle w:val="Normal"/>
        <w:spacing w:before="0" w:after="160"/>
        <w:jc w:val="both"/>
        <w:rPr/>
      </w:pPr>
      <w:r>
        <w:rPr/>
        <w:t>None of it is theoretical. All of it is recoverable from the operational record of someone who was inside this market long enough and at sufficient scale to see the patterns clearly.</w:t>
      </w:r>
    </w:p>
    <w:p>
      <w:pPr>
        <w:pStyle w:val="Normal"/>
        <w:spacing w:before="0" w:after="160"/>
        <w:jc w:val="both"/>
        <w:rPr/>
      </w:pPr>
      <w:r>
        <w:rPr/>
        <w:t>The frameworks are applicable beyond this market. The per-driver retention methodology applies to any labor-intensive service business with owner-dependent workforces. The phased due-diligence framework with the LOI as access agreement is sound institutional practice the small business M&amp;A market has not yet systematized. The three-scenario asset acquisition analysis applies to any business where physical assets carry compliance obligations and replacement cost is a transaction variable. But this book was written for one market specifically — FedEx Ground linehaul service provider M&amp;A — because that is the market I know with the precision useful analytical frameworks require. Operational accuracy was the goal, not broad applicability.</w:t>
      </w:r>
    </w:p>
    <w:p>
      <w:pPr>
        <w:pStyle w:val="Normal"/>
        <w:spacing w:before="0" w:after="160"/>
        <w:jc w:val="both"/>
        <w:rPr/>
      </w:pPr>
      <w:r>
        <w:rPr/>
        <w:t>No book, white paper, practitioner guide, or academic study has ever been written specifically for this market. It has operated for more than thirty years — since Ground was spun out of FedEx in 1998 — without a single analytical framework a buyer or seller could pick up and use. Deals have been priced from broker packages, gut feel, and what the previous deal closed at in a market where no prior transaction data was systematically collected or analytically verified. The information asymmetry that disadvantages buyers has persisted not because market participants are unsophisticated, but because no one who operated at sufficient scale to understand it analytically had written the standard.</w:t>
      </w:r>
    </w:p>
    <w:p>
      <w:pPr>
        <w:pStyle w:val="Normal"/>
        <w:spacing w:before="0" w:after="160"/>
        <w:jc w:val="both"/>
        <w:rPr/>
      </w:pPr>
      <w:r>
        <w:rPr/>
        <w:t>This book does that. It will not transform the market overnight. Brokers will continue to work within the pricing methods that have defined the market, because without a shared analytical framework those methods have been the only reference available. Sellers will continue to anchor to numbers that reflect their financial expectations, because without a rigorous valuation standard, expectations and verifiable value have been genuinely difficult to distinguish. And buyers will continue to face the same challenges in transactions where the analytical tools this book provides are not brought to the table — because the cognitive pressure to close, the confirmation bias Chapter 3 describes, and the information asymmetry Chapter 1 names as the market's foundational problem do not disappear because a book has been written. The framework has to be in the room to change the outcome.</w:t>
      </w:r>
    </w:p>
    <w:p>
      <w:pPr>
        <w:pStyle w:val="Normal"/>
        <w:spacing w:before="0" w:after="160"/>
        <w:jc w:val="both"/>
        <w:rPr/>
      </w:pPr>
      <w:r>
        <w:rPr/>
        <w:t>What changes is that the standard exists. A buyer who has read this book and applied its frameworks knows what they paid for and why. They know the risk they assumed and what it is worth. They know which findings in due diligence were material and which were noise. They know what the driver workforce will look like on day ninety and what it will cost to close the gap. They know whether the spot revenue they paid for is likely to survive the transition and what the terminal's linehaul senior manager thinks about the new owner. They know whether the fleet they acquired is compliant with the technology requirements the carrier now enforces in real time. And they know — because the stress test required them to calculate it — what the business looks like at eighty percent of sustainable assigned revenue and at sixty-five percent, and whether the capital structure they built can survive either scenario.</w:t>
      </w:r>
    </w:p>
    <w:p>
      <w:pPr>
        <w:pStyle w:val="Normal"/>
        <w:spacing w:before="0" w:after="160"/>
        <w:jc w:val="both"/>
        <w:rPr/>
      </w:pPr>
      <w:r>
        <w:rPr/>
        <w:t>A seller who has read this book understands what a disciplined buyer will find, ask for, and price. They know which compliance gaps are visible and what they cost to cure before the transaction rather than during it. They know how their driver workforce will be assessed and what the departure probability calculation will produce if they have not built institutional retention depth. They know the terminal relationship they cultivated over years is a real value driver — one that can be documented and reflected in a lower spot revenue discount if they have maintained it with the discipline the framework rewards.</w:t>
      </w:r>
    </w:p>
    <w:p>
      <w:pPr>
        <w:pStyle w:val="Normal"/>
        <w:spacing w:before="0" w:after="160"/>
        <w:jc w:val="both"/>
        <w:rPr/>
      </w:pPr>
      <w:r>
        <w:rPr/>
        <w:t>That is what an analytical standard does for a market. It does not guarantee good outcomes. It does not eliminate the risk inherent in every acquisition. What it does is replace unexamined uncertainty with measured risk — the only trade disciplined acquirers have ever been willing to make. Valuation is inversely proportional to risk. Risk must therefore be effectively assessed. This book is the instrument for doing that assessment in the only market for which it was built.</w:t>
      </w:r>
    </w:p>
    <w:p>
      <w:pPr>
        <w:pStyle w:val="Normal"/>
        <w:spacing w:before="0" w:after="160"/>
        <w:jc w:val="both"/>
        <w:rPr/>
      </w:pPr>
      <w:r>
        <w:rPr/>
        <w:t>Timothy L. Goff</w:t>
      </w:r>
    </w:p>
    <w:p>
      <w:pPr>
        <w:pStyle w:val="Normal"/>
        <w:spacing w:before="0" w:after="160"/>
        <w:jc w:val="both"/>
        <w:rPr/>
      </w:pPr>
      <w:r>
        <w:rPr/>
        <w:t>CEO &amp; Founder, myGroundForce®</w:t>
      </w:r>
    </w:p>
    <w:p>
      <w:pPr>
        <w:pStyle w:val="Normal"/>
        <w:spacing w:before="0" w:after="160"/>
        <w:jc w:val="both"/>
        <w:rPr/>
      </w:pPr>
      <w:r>
        <w:rPr/>
        <w:t>Former FedEx Ground linehaul service provider, gold medal exit</w:t>
      </w:r>
    </w:p>
    <w:p>
      <w:pPr>
        <w:pStyle w:val="Normal"/>
        <w:spacing w:before="0" w:after="160"/>
        <w:jc w:val="both"/>
        <w:rPr/>
      </w:pPr>
      <w:r>
        <w:rPr/>
        <w:t>2026</w:t>
      </w:r>
      <w:r>
        <w:br w:type="page"/>
      </w:r>
    </w:p>
    <w:p>
      <w:pPr>
        <w:pStyle w:val="Heading1"/>
        <w:spacing w:before="480" w:after="360"/>
        <w:jc w:val="center"/>
        <w:rPr/>
      </w:pPr>
      <w:r>
        <w:rPr>
          <w:b/>
          <w:bCs/>
          <w:color w:val="1F2F4F"/>
          <w:sz w:val="40"/>
          <w:szCs w:val="40"/>
        </w:rPr>
        <w:t>Introduction</w:t>
      </w:r>
    </w:p>
    <w:p>
      <w:pPr>
        <w:pStyle w:val="Normal"/>
        <w:spacing w:before="0" w:after="160"/>
        <w:jc w:val="both"/>
        <w:rPr/>
      </w:pPr>
      <w:r>
        <w:rPr/>
        <w:t>This book is organized in four parts. Part I establishes the foundational realities of the linehaul market — the information asymmetry problem, the contract, the confirmation bias dynamic, and the relationship between price and value. Part II develops the analytical doctrine — the seven frameworks that convert those realities into structured, repeatable analysis. Part III covers transaction execution — due diligence, negotiation, and deal structure. Part IV presents four case studies that apply the frameworks to recognizable transaction patterns. The analytical exhibits at the back of the book provide a consolidated reference for the fourteen proprietary frameworks, the seven named market dynamics, and the instrument outputs developed here, populated with the same hypothetical business that appears throughout the prose.</w:t>
      </w:r>
    </w:p>
    <w:p>
      <w:pPr>
        <w:pStyle w:val="Normal"/>
        <w:spacing w:before="0" w:after="160"/>
        <w:jc w:val="both"/>
        <w:rPr/>
      </w:pPr>
      <w:r>
        <w:rPr/>
        <w:t>The book is written for four audiences, and all four deserve the same quality of analytical foundation. Buyers need it to protect their capital. Sellers need it to understand what their business is actually worth and why, so they can prepare for a realistic exit rather than anchoring to a number the market will not support. Lenders need it to underwrite linehaul acquisitions with the domain-specific knowledge generic frameworks do not provide. And advisors — attorneys, accountants, brokers, and consultants — need it to serve their clients with the level of expertise this market's specific characteristics require.</w:t>
      </w:r>
    </w:p>
    <w:p>
      <w:pPr>
        <w:pStyle w:val="Normal"/>
        <w:spacing w:before="0" w:after="160"/>
        <w:jc w:val="both"/>
        <w:rPr/>
      </w:pPr>
      <w:r>
        <w:rPr/>
        <w:t xml:space="preserve">Two governing principles anchor every chapter. </w:t>
      </w:r>
      <w:r>
        <w:rPr>
          <w:i/>
          <w:iCs/>
        </w:rPr>
        <w:t>No deal is better than a bad deal.</w:t>
      </w:r>
      <w:r>
        <w:rPr/>
        <w:t xml:space="preserve"> </w:t>
      </w:r>
      <w:r>
        <w:rPr>
          <w:i/>
          <w:iCs/>
        </w:rPr>
        <w:t>Projections are not reality.</w:t>
      </w:r>
      <w:r>
        <w:rPr/>
        <w:t xml:space="preserve"> These are not motivational statements. They are the conclusions every failed linehaul acquisition confirms and every successful one demonstrates. The buyer who internalizes them — who acts on them consistently under the negotiating pressure and cognitive distortions every real transaction generates — is the buyer who builds a portfolio of acquisitions that deliver what they were designed to deliver.</w:t>
      </w:r>
    </w:p>
    <w:p>
      <w:pPr>
        <w:pStyle w:val="Normal"/>
        <w:spacing w:before="0" w:after="160"/>
        <w:jc w:val="both"/>
        <w:rPr/>
      </w:pPr>
      <w:r>
        <w:rPr/>
        <w:t>The frameworks in this book will produce valuations grounded in evidence rather than convention. Where current market pricing exceeds what the evidence supports, the frameworks will reflect that gap. A risk that exists but is not measured does not disappear; it transfers to the buyer, at closing, at full value. Buyers can pay whatever price they choose. The Blueprint does not prevent overpayment. What it prevents is uninformed overpayment. A buyer who works through this framework and then decides to pay more than the calculated valuation has made a business decision with open eyes. They know the gap between what they paid and what the evidence supports. They know the risks they are accepting and the margin of safety they are forgoing. That is a legitimate choice. The difference between an informed choice and an uninformed one is what this book provides.</w:t>
      </w:r>
    </w:p>
    <w:p>
      <w:pPr>
        <w:pStyle w:val="Normal"/>
        <w:spacing w:before="0" w:after="160"/>
        <w:jc w:val="both"/>
        <w:rPr/>
      </w:pPr>
      <w:r>
        <w:rPr/>
        <w:t>Timothy L. Goff</w:t>
      </w:r>
    </w:p>
    <w:p>
      <w:pPr>
        <w:pStyle w:val="Normal"/>
        <w:spacing w:before="0" w:after="160"/>
        <w:jc w:val="both"/>
        <w:rPr/>
      </w:pPr>
      <w:r>
        <w:rPr/>
        <w:t>CEO &amp; Founder, myGroundForce®</w:t>
      </w:r>
    </w:p>
    <w:p>
      <w:pPr>
        <w:pStyle w:val="Normal"/>
        <w:spacing w:before="0" w:after="160"/>
        <w:jc w:val="both"/>
        <w:rPr/>
      </w:pPr>
      <w:r>
        <w:rPr/>
        <w:t>2026</w:t>
      </w:r>
      <w:r>
        <w:br w:type="page"/>
      </w:r>
    </w:p>
    <w:p>
      <w:pPr>
        <w:pStyle w:val="Normal"/>
        <w:spacing w:before="480" w:after="120"/>
        <w:jc w:val="center"/>
        <w:rPr/>
      </w:pPr>
      <w:r>
        <w:rPr>
          <w:b/>
          <w:bCs/>
          <w:color w:val="666666"/>
          <w:sz w:val="24"/>
          <w:szCs w:val="24"/>
        </w:rPr>
        <w:t>Chapter 1</w:t>
      </w:r>
    </w:p>
    <w:p>
      <w:pPr>
        <w:pStyle w:val="Heading2"/>
        <w:spacing w:before="0" w:after="360"/>
        <w:jc w:val="center"/>
        <w:rPr/>
      </w:pPr>
      <w:r>
        <w:rPr>
          <w:b/>
          <w:bCs/>
          <w:color w:val="1F2F4F"/>
          <w:sz w:val="36"/>
          <w:szCs w:val="36"/>
        </w:rPr>
        <w:t>The Information Asymmetry Problem™</w:t>
      </w:r>
    </w:p>
    <w:p>
      <w:pPr>
        <w:pStyle w:val="Normal"/>
        <w:spacing w:before="0" w:after="160"/>
        <w:jc w:val="both"/>
        <w:rPr/>
      </w:pPr>
      <w:r>
        <w:rPr/>
        <w:t>Every FedEx Ground linehaul service provider acquisition begins with the same structural disadvantage for the buyer. The seller has spent years inside the business. They know which runs are stable and which are borrowed time. They know what the terminal relationship actually looks like behind the formal performance reports. They know which drivers will stay, which will leave the moment ownership changes, and which are already looking. They know whether the maintenance records reflect reality or optimism. They have lived through the network changes, the rate adjustments, the peak seasons that overperformed and the ones that quietly disappointed. And they know, with the clarity that only direct experience produces, which version of the business they are selling: the one that exists on paper or the one that exists in practice.</w:t>
      </w:r>
    </w:p>
    <w:p>
      <w:pPr>
        <w:pStyle w:val="Normal"/>
        <w:spacing w:before="0" w:after="160"/>
        <w:jc w:val="both"/>
        <w:rPr/>
      </w:pPr>
      <w:r>
        <w:rPr/>
        <w:t>The buyer arrives without that history. But the information asymmetry in this market does not run in only one direction. Sellers carry their own version of the problem, and it is equally consequential. Most sellers go to market without the analytical framework a disciplined buyer will apply, which means the price conversation begins with two parties working from fundamentally different foundations. Sellers know what they need to receive. They know what a broker has told them the business should fetch. They know what a competitor sold for three years ago under conditions that may have been materially different. What they rarely know is how a sophisticated buyer will normalize their reported earnings downward, apply a risk-adjusted multiple based on the specific characteristics of their contract and fleet, and arrive at a supportable price that differs significantly from the asking price they and their broker have established. The seller who goes to market without understanding how buyers will analyze their business is as disadvantaged as the buyer who enters due diligence without having read the contract.</w:t>
      </w:r>
    </w:p>
    <w:p>
      <w:pPr>
        <w:pStyle w:val="Normal"/>
        <w:spacing w:before="0" w:after="160"/>
        <w:jc w:val="both"/>
        <w:rPr/>
      </w:pPr>
      <w:r>
        <w:rPr/>
        <w:t>This is the Information Asymmetry Problem™. It is not a conspiracy, and it is not unique to this industry. Information asymmetry exists in virtually every business transaction. But in the FedEx Ground linehaul market it operates with particular force, because the business is more complex than it appears from the outside, the governing contract is almost universally misunderstood by those who have not spent years working within it, and the financial statements — without proper adjustment — are structurally incapable of revealing the most important drivers of future performance. It runs in both directions. The buyer who enters without the tools to analyze a seller's presentation independently will overpay. The seller who goes to market without understanding how a disciplined buyer will analyze their business will under-receive, accept a structure that transfers unacceptable risk, or both.</w:t>
      </w:r>
    </w:p>
    <w:p>
      <w:pPr>
        <w:pStyle w:val="Normal"/>
        <w:spacing w:before="0" w:after="160"/>
        <w:jc w:val="both"/>
        <w:rPr/>
      </w:pPr>
      <w:r>
        <w:rPr/>
        <w:t>This book addresses both sides of that preparation gap. The frameworks give buyers the analytical tools to evaluate businesses accurately and structure transactions that reflect what businesses are actually worth. Those same frameworks, understood from the seller's perspective, give sellers the knowledge they need to prepare for a fair valuation, to anticipate the adjustments a disciplined buyer will apply, and to evaluate whether a proposed deal structure is equitable or transfers unacceptable risk. The market is better served when both parties understand it on the same analytical terms.</w:t>
      </w:r>
    </w:p>
    <w:p>
      <w:pPr>
        <w:pStyle w:val="Normal"/>
        <w:spacing w:before="0" w:after="160"/>
        <w:jc w:val="both"/>
        <w:rPr/>
      </w:pPr>
      <w:r>
        <w:rPr/>
        <w:t>Standard small business M&amp;A literature describes due diligence without specifying what to look for in this business. It describes valuation multiples without explaining what drives them here. It describes earn-outs without connecting them to the specific risks that make earn-outs necessary in a linehaul transaction. That literature is correct in the abstract and unhelpful in practice for a buyer acquiring a linehaul operation. The frameworks in this book are not a translation of general M&amp;A principles into a new context. They are built from the specific characteristics of this market — the contract structure, the regulatory pass-through under the carrier's motor carrier authority, the fleet capital obligations, the driver workforce dynamics, and the terminal relationship economics — that general M&amp;A literature has never addressed because it has never known this market.</w:t>
      </w:r>
    </w:p>
    <w:p>
      <w:pPr>
        <w:pStyle w:val="Normal"/>
        <w:spacing w:before="0" w:after="160"/>
        <w:jc w:val="both"/>
        <w:rPr/>
      </w:pPr>
      <w:r>
        <w:rPr/>
        <w:t>The analytical foundation beneath every framework in this book is a principle that applies to all acquisitions: valuation is inversely proportional to risk. The higher the risk, the lower the justifiable valuation. The lower the risk, the more a buyer can defensibly pay. This relationship is not negotiable and it is not situational. It is the structural reason risk must be effectively assessed in every transaction. A buyer who cannot measure risk cannot determine value. A seller who does not understand risk cannot defend price. The Information Asymmetry Problem™ is, at its core, a risk measurement problem. This book is the instrument for solving it.</w:t>
      </w:r>
    </w:p>
    <w:tbl>
      <w:tblPr>
        <w:tblW w:w="9360" w:type="dxa"/>
        <w:jc w:val="left"/>
        <w:tblInd w:w="0" w:type="dxa"/>
        <w:tblLayout w:type="fixed"/>
        <w:tblCellMar>
          <w:top w:w="200" w:type="dxa"/>
          <w:left w:w="240" w:type="dxa"/>
          <w:bottom w:w="200" w:type="dxa"/>
          <w:right w:w="240" w:type="dxa"/>
        </w:tblCellMar>
      </w:tblPr>
      <w:tblGrid>
        <w:gridCol w:w="9360"/>
      </w:tblGrid>
      <w:tr>
        <w:trPr/>
        <w:tc>
          <w:tcPr>
            <w:tcW w:w="9360" w:type="dxa"/>
            <w:tcBorders>
              <w:top w:val="single" w:sz="10" w:space="0" w:color="C9A24E"/>
              <w:left w:val="single" w:sz="10" w:space="0" w:color="C9A24E"/>
              <w:bottom w:val="single" w:sz="10" w:space="0" w:color="C9A24E"/>
              <w:right w:val="single" w:sz="10" w:space="0" w:color="C9A24E"/>
            </w:tcBorders>
            <w:shd w:fill="FAF6ED" w:val="clear"/>
          </w:tcPr>
          <w:p>
            <w:pPr>
              <w:pStyle w:val="Normal"/>
              <w:spacing w:before="60" w:after="60"/>
              <w:jc w:val="left"/>
              <w:rPr/>
            </w:pPr>
            <w:r>
              <w:rPr>
                <w:b/>
                <w:bCs/>
                <w:sz w:val="22"/>
                <w:szCs w:val="22"/>
              </w:rPr>
              <w:t>THE INFORMATION ASYMMETRY PROBLEM™ CONTINUES IN THE COMPLETE BOOK</w:t>
            </w:r>
          </w:p>
          <w:p>
            <w:pPr>
              <w:pStyle w:val="Normal"/>
              <w:spacing w:before="120" w:after="60"/>
              <w:jc w:val="left"/>
              <w:rPr/>
            </w:pPr>
            <w:r>
              <w:rPr>
                <w:sz w:val="22"/>
                <w:szCs w:val="22"/>
              </w:rPr>
              <w:t>Chapter 1 goes on to describe the three layers of information asymmetry, the incentive structures that sustain it, the consequences of the problem for buyers and sellers, and the correction — the analytical framework that makes buyers independent of the seller's narrative.</w:t>
            </w:r>
          </w:p>
          <w:p>
            <w:pPr>
              <w:pStyle w:val="Normal"/>
              <w:spacing w:before="120" w:after="60"/>
              <w:jc w:val="left"/>
              <w:rPr/>
            </w:pPr>
            <w:r>
              <w:rPr>
                <w:sz w:val="22"/>
                <w:szCs w:val="22"/>
              </w:rPr>
              <w:t>The solution is not better access to seller-provided information. It is a rigorous analytical framework that allows buyers to derive the truth from the available evidence — the contract, the financial statements, the operational data, and the performance record.</w:t>
            </w:r>
          </w:p>
        </w:tc>
      </w:tr>
    </w:tbl>
    <w:p>
      <w:pPr>
        <w:pStyle w:val="Normal"/>
        <w:spacing w:before="0" w:after="120"/>
        <w:rPr/>
      </w:pPr>
      <w:r>
        <w:rPr/>
      </w:r>
      <w:r>
        <w:br w:type="page"/>
      </w:r>
    </w:p>
    <w:p>
      <w:pPr>
        <w:pStyle w:val="Normal"/>
        <w:spacing w:before="480" w:after="120"/>
        <w:jc w:val="center"/>
        <w:rPr/>
      </w:pPr>
      <w:r>
        <w:rPr>
          <w:b/>
          <w:bCs/>
          <w:color w:val="666666"/>
          <w:sz w:val="24"/>
          <w:szCs w:val="24"/>
        </w:rPr>
        <w:t>Chapter 8</w:t>
      </w:r>
    </w:p>
    <w:p>
      <w:pPr>
        <w:pStyle w:val="Heading2"/>
        <w:spacing w:before="0" w:after="360"/>
        <w:jc w:val="center"/>
        <w:rPr/>
      </w:pPr>
      <w:r>
        <w:rPr>
          <w:b/>
          <w:bCs/>
          <w:color w:val="1F2F4F"/>
          <w:sz w:val="36"/>
          <w:szCs w:val="36"/>
        </w:rPr>
        <w:t>The Sustainable Earnings Doctrine™</w:t>
      </w:r>
    </w:p>
    <w:p>
      <w:pPr>
        <w:pStyle w:val="Normal"/>
        <w:spacing w:before="0" w:after="160"/>
        <w:jc w:val="both"/>
        <w:rPr/>
      </w:pPr>
      <w:r>
        <w:rPr/>
        <w:t>Most buyers and sellers in the FedEx Ground linehaul market work from a version of earnings that reflects what the business produced last year. That number is real and it matters. But it is not the same as what the business can reliably produce going forward, and the gap between those two figures is where most of the analytical work in a linehaul acquisition needs to happen. Tax returns, internal profit and loss statements, and broker summaries present historical profitability clearly — but they were not designed to answer the forward-looking question that valuation requires. The number they produce is real in the limited sense that it represents what occurred during a specific period under specific conditions. It is not real in the sense that matters for valuation: what the business can continue to produce when those conditions normalize, when the capital consumed by the fleet is properly accounted for, and when earnings that depend on temporary circumstances are separated from those that reflect structural performance.</w:t>
      </w:r>
    </w:p>
    <w:p>
      <w:pPr>
        <w:pStyle w:val="Normal"/>
        <w:spacing w:before="0" w:after="160"/>
        <w:jc w:val="both"/>
        <w:rPr/>
      </w:pPr>
      <w:r>
        <w:rPr/>
        <w:t>Earnings are not a historical artifact. They are a forward-looking, risk-adjusted, capital-aware measure of performance. The central premise of this chapter is simple but consequential: earnings are not what the business made. They are what the business can sustain. This distinction is not academic. It is the difference between a good deal and a deeply disappointing one, and it is the distinction the Sustainable Earnings Doctrine™ is designed to make precise, systematic, and defensible.</w:t>
      </w:r>
    </w:p>
    <w:p>
      <w:pPr>
        <w:pStyle w:val="Normal"/>
        <w:spacing w:before="0" w:after="160"/>
        <w:jc w:val="both"/>
        <w:rPr/>
      </w:pPr>
      <w:r>
        <w:rPr/>
        <w:t>Linehaul service providers operate within a system defined by high fixed obligations, continuous capital consumption, and contract-driven revenue variability. Without disciplined adjustment, reported earnings will consistently overstate economic reality. The overstated figure becomes the basis for the multiple, the multiple becomes the basis for the price, and the price becomes the basis for the debt the buyer takes on to finance the acquisition. Every error introduced at the earnings level is amplified through the multiple into the price and amplified again through the leverage into the debt service burden. Understanding this chain of amplification is the reason the earnings analysis must be performed first, performed correctly, and performed independently of the seller's presentation.</w:t>
      </w:r>
    </w:p>
    <w:p>
      <w:pPr>
        <w:pStyle w:val="Normal"/>
        <w:spacing w:before="0" w:after="160"/>
        <w:jc w:val="both"/>
        <w:rPr/>
      </w:pPr>
      <w:r>
        <w:rPr/>
        <w:t xml:space="preserve">Two governing principles anchor every application of this doctrine. </w:t>
      </w:r>
      <w:r>
        <w:rPr>
          <w:i/>
          <w:iCs/>
        </w:rPr>
        <w:t>Projections are not reality. No deal is better than a bad deal.</w:t>
      </w:r>
      <w:r>
        <w:rPr/>
        <w:t xml:space="preserve"> Everything in this chapter exists to operationalize those principles.</w:t>
      </w:r>
    </w:p>
    <w:p>
      <w:pPr>
        <w:pStyle w:val="Heading2"/>
        <w:spacing w:before="280" w:after="160"/>
        <w:rPr/>
      </w:pPr>
      <w:r>
        <w:rPr/>
        <w:t>Why Reported EBITDA Is Insufficient</w:t>
      </w:r>
    </w:p>
    <w:p>
      <w:pPr>
        <w:pStyle w:val="Normal"/>
        <w:spacing w:before="0" w:after="160"/>
        <w:jc w:val="both"/>
        <w:rPr/>
      </w:pPr>
      <w:r>
        <w:rPr/>
        <w:t>EBITDA, as commonly presented in linehaul transactions, is structurally flawed as a measure of economic performance. This is not a criticism of EBITDA as a financial concept. In many industries, EBITDA provides a reasonably accurate picture of a business's earning capacity, and the adjustments required to convert it into a reliable valuation input are modest and well-understood. In linehaul, those adjustments are neither modest nor well-understood, and their absence produces valuations that overstate economic reality in ways that reduce actual performance below what the buyer expected when they paid the price.</w:t>
      </w:r>
    </w:p>
    <w:p>
      <w:pPr>
        <w:pStyle w:val="Normal"/>
        <w:spacing w:before="0" w:after="160"/>
        <w:jc w:val="both"/>
        <w:rPr/>
      </w:pPr>
      <w:r>
        <w:rPr/>
        <w:t xml:space="preserve">The distortion mechanisms are specific and identifiable. The first is </w:t>
      </w:r>
      <w:r>
        <w:rPr>
          <w:b/>
          <w:bCs/>
        </w:rPr>
        <w:t>under-reserved maintenance</w:t>
      </w:r>
      <w:r>
        <w:rPr/>
        <w:t>. Maintenance expenses are frequently understated in linehaul businesses because owners preparing for a sale — or who have simply developed the habit of managing cash flow by deferring non-emergency maintenance — allow service intervals to extend, defer scheduled replacements of wear items, and suppress maintenance spending in ways that reduce reported costs without immediately reducing operational performance. The income statement that results reflects timing manipulation rather than true cost. The business appears more profitable than it is because a portion of its future maintenance cost has been deferred into the period after the sale closes, where it becomes the buyer's problem.</w:t>
      </w:r>
    </w:p>
    <w:p>
      <w:pPr>
        <w:pStyle w:val="Normal"/>
        <w:spacing w:before="0" w:after="160"/>
        <w:jc w:val="both"/>
        <w:rPr/>
      </w:pPr>
      <w:r>
        <w:rPr/>
        <w:t xml:space="preserve">The second distortion mechanism is </w:t>
      </w:r>
      <w:r>
        <w:rPr>
          <w:b/>
          <w:bCs/>
        </w:rPr>
        <w:t>ignored fleet replacement cost</w:t>
      </w:r>
      <w:r>
        <w:rPr/>
        <w:t>. Standard depreciation schedules, as Chapter 5 established, bear no reliable relationship to the actual economic consumption of linehaul tractors. Whether the tractors have been depreciated on an accelerated tax schedule that front-loaded the expense into prior years, or on a straight-line schedule that distributes it evenly over a period inconsistent with the tractor's actual economic life, the resulting depreciation expense in the current period does not represent the true cost of consuming the fleet's future earning capacity. The buyer who accepts EBITDA as the starting point without replacing the depreciation logic with a utilization-adjusted capital reserve has built their entire analysis on a number that misrepresents the most significant capital obligation in the business.</w:t>
      </w:r>
    </w:p>
    <w:p>
      <w:pPr>
        <w:pStyle w:val="Normal"/>
        <w:spacing w:before="0" w:after="160"/>
        <w:jc w:val="both"/>
        <w:rPr/>
      </w:pPr>
      <w:r>
        <w:rPr/>
        <w:t xml:space="preserve">The third distortion mechanism is </w:t>
      </w:r>
      <w:r>
        <w:rPr>
          <w:b/>
          <w:bCs/>
        </w:rPr>
        <w:t>owner compensation distortion</w:t>
      </w:r>
      <w:r>
        <w:rPr/>
        <w:t>. Some owners pay themselves below market rates to maximize reported profitability. Others pay themselves above market rates and present the business as if those above-market payments are legitimate operating expenses that can be normalized away. In both cases, the earnings figure requires adjustment before it can serve as the basis for valuation, because the buyer will need to compensate the management function at market rates regardless of what the seller chose to pay themselves.</w:t>
      </w:r>
    </w:p>
    <w:p>
      <w:pPr>
        <w:pStyle w:val="Normal"/>
        <w:spacing w:before="0" w:after="160"/>
        <w:jc w:val="both"/>
        <w:rPr/>
      </w:pPr>
      <w:r>
        <w:rPr/>
        <w:t xml:space="preserve">The fourth distortion mechanism is </w:t>
      </w:r>
      <w:r>
        <w:rPr>
          <w:b/>
          <w:bCs/>
        </w:rPr>
        <w:t>peak revenue presentation</w:t>
      </w:r>
      <w:r>
        <w:rPr/>
        <w:t>. Linehaul earnings can be materially elevated during peak season due to volume surges, bonus incentive programs, and the additional work the network requires during its highest-demand periods. These elevated earnings are real in the sense that they occurred, but they are not structural in the sense that they will recur in exactly the same form going forward. A seller who presents trailing twelve-month earnings that include a particularly strong peak season is presenting a number that overstates the run-rate earning capacity of the business.</w:t>
      </w:r>
    </w:p>
    <w:p>
      <w:pPr>
        <w:pStyle w:val="Normal"/>
        <w:spacing w:before="0" w:after="160"/>
        <w:jc w:val="both"/>
        <w:rPr/>
      </w:pPr>
      <w:r>
        <w:rPr/>
        <w:t xml:space="preserve">The fifth distortion mechanism is </w:t>
      </w:r>
      <w:r>
        <w:rPr>
          <w:b/>
          <w:bCs/>
        </w:rPr>
        <w:t>incentive-driven earnings</w:t>
      </w:r>
      <w:r>
        <w:rPr/>
        <w:t>. Performance incentive programs, spot work bonuses, and similar short-term earning opportunities can create earnings in a specific period that do not reflect the sustainable capacity of the business. A business that earned well in a period when multiple favorable incentive programs were active may earn materially less in periods when those programs are not active, and any earnings normalization that treats incentive earnings as structural is overstating sustainable performance.</w:t>
      </w:r>
    </w:p>
    <w:p>
      <w:pPr>
        <w:pStyle w:val="Normal"/>
        <w:spacing w:before="0" w:after="160"/>
        <w:jc w:val="both"/>
        <w:rPr/>
      </w:pPr>
      <w:r>
        <w:rPr/>
        <w:t>The conclusion that flows from these five mechanisms is unavoidable: traditional EBITDA, unadjusted, is not a reliable indicator of value in linehaul. It is a starting point for analysis, not a conclusion. Every application of the Sustainable Earnings Doctrine™ begins with reported EBITDA and works systematically through each distortion mechanism until what remains is a number that reflects what the business can actually sustain.</w:t>
      </w:r>
    </w:p>
    <w:p>
      <w:pPr>
        <w:pStyle w:val="Heading2"/>
        <w:spacing w:before="280" w:after="160"/>
        <w:rPr/>
      </w:pPr>
      <w:r>
        <w:rPr/>
        <w:t>Constructing Sustainable EBITDA</w:t>
      </w:r>
    </w:p>
    <w:p>
      <w:pPr>
        <w:pStyle w:val="Normal"/>
        <w:spacing w:before="0" w:after="160"/>
        <w:jc w:val="both"/>
        <w:rPr/>
      </w:pPr>
      <w:r>
        <w:rPr/>
        <w:t>The sustainable EBITDA calculation brings together all adjustments into a structured normalization that converts reported earnings into a number reflecting what the business can actually sustain. The calculation proceeds in a defined sequence.</w:t>
      </w:r>
    </w:p>
    <w:p>
      <w:pPr>
        <w:pStyle w:val="Normal"/>
        <w:spacing w:before="0" w:after="160"/>
        <w:jc w:val="both"/>
        <w:rPr/>
      </w:pPr>
      <w:r>
        <w:rPr/>
        <w:t xml:space="preserve">The starting point is </w:t>
      </w:r>
      <w:r>
        <w:rPr>
          <w:b/>
          <w:bCs/>
        </w:rPr>
        <w:t>reported EBITDA</w:t>
      </w:r>
      <w:r>
        <w:rPr/>
        <w:t>. This is the number the seller or broker presents as the basis for valuation. It is the right starting point because it represents what actually occurred, and the normalization process works forward from there.</w:t>
      </w:r>
    </w:p>
    <w:p>
      <w:pPr>
        <w:pStyle w:val="Normal"/>
        <w:spacing w:before="0" w:after="160"/>
        <w:jc w:val="both"/>
        <w:rPr/>
      </w:pPr>
      <w:r>
        <w:rPr/>
        <w:t xml:space="preserve">The first adjustment is </w:t>
      </w:r>
      <w:r>
        <w:rPr>
          <w:b/>
          <w:bCs/>
        </w:rPr>
        <w:t>owner compensation normalization</w:t>
      </w:r>
      <w:r>
        <w:rPr/>
        <w:t>. If the owner has paid themselves below market rates, the market replacement salary must be subtracted from reported EBITDA to reflect the true cost of the management function the buyer will need to fill. If the owner has paid themselves above market rates, any excess above market replacement salary must be added back. The market replacement salary for a linehaul operation of the relevant size and complexity typically falls in the range of eighty to one hundred and twenty thousand dollars annually.</w:t>
      </w:r>
    </w:p>
    <w:p>
      <w:pPr>
        <w:pStyle w:val="Normal"/>
        <w:spacing w:before="0" w:after="160"/>
        <w:jc w:val="both"/>
        <w:rPr/>
      </w:pPr>
      <w:r>
        <w:rPr/>
        <w:t xml:space="preserve">The second adjustment is </w:t>
      </w:r>
      <w:r>
        <w:rPr>
          <w:b/>
          <w:bCs/>
        </w:rPr>
        <w:t>capital reserve normalization</w:t>
      </w:r>
      <w:r>
        <w:rPr/>
        <w:t>. The total annualized fleet capital reserve, calculated through the utilization-adjusted model for each tractor in the fleet, is subtracted from reported EBITDA. This adjustment replaces the depreciation or absence-of-depreciation that the income statement reflects with the economically accurate capital consumption cost that the fleet's actual characteristics require.</w:t>
      </w:r>
    </w:p>
    <w:p>
      <w:pPr>
        <w:pStyle w:val="Normal"/>
        <w:spacing w:before="0" w:after="160"/>
        <w:jc w:val="both"/>
        <w:rPr/>
      </w:pPr>
      <w:r>
        <w:rPr/>
        <w:t xml:space="preserve">The third adjustment is </w:t>
      </w:r>
      <w:r>
        <w:rPr>
          <w:b/>
          <w:bCs/>
        </w:rPr>
        <w:t>maintenance normalization</w:t>
      </w:r>
      <w:r>
        <w:rPr/>
        <w:t>. If reported maintenance expense falls below four percent of the fleet's replacement value, the difference between actual spending and the target spending is subtracted from reported EBITDA to reflect the true maintenance investment required to operate the fleet at the level that produces the reported revenue.</w:t>
      </w:r>
    </w:p>
    <w:p>
      <w:pPr>
        <w:pStyle w:val="Normal"/>
        <w:spacing w:before="0" w:after="160"/>
        <w:jc w:val="both"/>
        <w:rPr/>
      </w:pPr>
      <w:r>
        <w:rPr/>
        <w:t xml:space="preserve">The fourth adjustment is </w:t>
      </w:r>
      <w:r>
        <w:rPr>
          <w:b/>
          <w:bCs/>
        </w:rPr>
        <w:t>peak revenue normalization</w:t>
      </w:r>
      <w:r>
        <w:rPr/>
        <w:t>. If peak incentive revenue represents more than twenty percent of reported earnings, a smoothing adjustment removes the portion of earnings that reflects the peak contribution above the base run-rate level. This adjustment is not intended to eliminate peak revenue from the valuation analysis but to prevent it from dominating the earnings figure in a way that produces a valuation that can only be sustained if peak conditions persist indefinitely.</w:t>
      </w:r>
    </w:p>
    <w:p>
      <w:pPr>
        <w:pStyle w:val="Normal"/>
        <w:spacing w:before="0" w:after="160"/>
        <w:jc w:val="both"/>
        <w:rPr/>
      </w:pPr>
      <w:r>
        <w:rPr/>
        <w:t xml:space="preserve">The fifth adjustment is </w:t>
      </w:r>
      <w:r>
        <w:rPr>
          <w:b/>
          <w:bCs/>
        </w:rPr>
        <w:t>revenue durability normalization</w:t>
      </w:r>
      <w:r>
        <w:rPr/>
        <w:t>. Non-contracted revenue components — spot revenue and wild run revenue — are adjusted based on their position in the Revenue Durability Hierarchy™. Spot revenue receives a durability discount that reflects the probability that it will not fully persist through the ownership transition. Wild run revenue receives a more severe discount, potentially to zero. the supplemental capacity arrangement revenue, if present in the historical financial statements, is excluded entirely rather than discounted, because the Transportation Services Schedule's non-assignability provision prohibits its transfer to the acquiring party regardless of any other consideration. This exclusion is not a judgment about the likelihood of persistence — it is a recognition that the contract itself makes persistence legally impossible.</w:t>
      </w:r>
    </w:p>
    <w:p>
      <w:pPr>
        <w:pStyle w:val="Normal"/>
        <w:spacing w:before="0" w:after="160"/>
        <w:jc w:val="both"/>
        <w:rPr/>
      </w:pPr>
      <w:r>
        <w:rPr/>
        <w:t>The spot revenue durability discount is applied on a tiered basis reflecting the evidence of relationship depth the history provides. The discount is not a judgment about operational quality — it is a recognition that spot revenue transfers as a relationship, not as a contract, and that relationship depth is measurable from the historical record. Three tiers apply:</w:t>
      </w:r>
    </w:p>
    <w:p>
      <w:pPr>
        <w:pStyle w:val="Normal"/>
        <w:spacing w:before="0" w:after="160"/>
        <w:jc w:val="both"/>
        <w:rPr/>
      </w:pPr>
      <w:r>
        <w:rPr>
          <w:b/>
          <w:bCs/>
        </w:rPr>
        <w:t>Tier 1 — Established spot relationship</w:t>
      </w:r>
      <w:r>
        <w:rPr/>
        <w:t xml:space="preserve"> (three or more years of consistent spot assignments, stable or growing frequency): Apply a forty percent durability discount. The history provides meaningful evidence of sustained terminal trust. The discount reflects transfer risk and the time required for the buyer to establish equivalent credibility — not a judgment that the revenue is likely to disappear.</w:t>
      </w:r>
    </w:p>
    <w:p>
      <w:pPr>
        <w:pStyle w:val="Normal"/>
        <w:spacing w:before="0" w:after="160"/>
        <w:jc w:val="both"/>
        <w:rPr/>
      </w:pPr>
      <w:r>
        <w:rPr>
          <w:b/>
          <w:bCs/>
        </w:rPr>
        <w:t>Tier 2 — Developing spot relationship</w:t>
      </w:r>
      <w:r>
        <w:rPr/>
        <w:t xml:space="preserve"> (twelve to thirty-six months of spot revenue, consistent but not deep history): Apply a fifty-five percent durability discount. The relationship exists but has not been tested over a full business cycle or through a service disruption. Transfer risk is moderate to high.</w:t>
      </w:r>
    </w:p>
    <w:p>
      <w:pPr>
        <w:pStyle w:val="Normal"/>
        <w:spacing w:before="0" w:after="160"/>
        <w:jc w:val="both"/>
        <w:rPr/>
      </w:pPr>
      <w:r>
        <w:rPr>
          <w:b/>
          <w:bCs/>
        </w:rPr>
        <w:t>Tier 3 — Recent or irregular spot revenue</w:t>
      </w:r>
      <w:r>
        <w:rPr/>
        <w:t xml:space="preserve"> (less than twelve months or inconsistent pattern): Apply a seventy percent durability discount. Recent spot revenue may reflect a temporary network condition rather than an established relationship. Irregular spot revenue indicates that the terminal's trust has not been consistently earned. Transfer risk is high and the revenue should be treated as largely non-recurring.</w:t>
      </w:r>
    </w:p>
    <w:p>
      <w:pPr>
        <w:pStyle w:val="Normal"/>
        <w:spacing w:before="0" w:after="160"/>
        <w:jc w:val="both"/>
        <w:rPr/>
      </w:pPr>
      <w:r>
        <w:rPr/>
        <w:t>Regardless of tier, spot revenue not confirmed by a direct conversation with the terminal's linehaul senior manager should be discounted at the highest tier applicable. The manager's perspective on the spot relationship — obtained through the Workstream Six terminal relationship assessment described in Chapter 13 — is the most current and most reliable evidence available on spot revenue durability. A manager who volunteers that they plan to continue using the operation for spot coverage under new ownership is providing evidence that supports a lower discount. A manager who is neutral or noncommittal is providing evidence that supports a higher one.</w:t>
      </w:r>
    </w:p>
    <w:p>
      <w:pPr>
        <w:pStyle w:val="Normal"/>
        <w:spacing w:before="0" w:after="160"/>
        <w:jc w:val="both"/>
        <w:rPr/>
      </w:pPr>
      <w:r>
        <w:rPr/>
        <w:t>The correct spot revenue discount is the one that reflects the evidence available before closing — not the one that produces the valuation the seller wants. A seller who has built a genuine, long-term spot relationship with their terminal has created real value that deserves a lower discount. A seller who is presenting recent spot revenue as a structural earnings component deserves the full Tier 3 treatment. The Spot Revenue Paradox™ is that the seller always believes their spot revenue is Tier 1. The terminal manager's candid assessment is the only source that can confirm or deny it.</w:t>
      </w:r>
    </w:p>
    <w:p>
      <w:pPr>
        <w:pStyle w:val="Normal"/>
        <w:spacing w:before="0" w:after="160"/>
        <w:jc w:val="both"/>
        <w:rPr/>
      </w:pPr>
      <w:r>
        <w:rPr/>
        <w:t xml:space="preserve">The result of these five adjustments is the </w:t>
      </w:r>
      <w:r>
        <w:rPr>
          <w:b/>
          <w:bCs/>
        </w:rPr>
        <w:t>sustainable EBITDA</w:t>
      </w:r>
      <w:r>
        <w:rPr/>
        <w:t>: the earnings figure that represents what the business can reliably produce when conditions are normal, the capital requirements are properly funded, and the revenue components are assessed at their true durable value. This is the number the Linehaul Multiple Matrix™ is applied to in order to derive enterprise value. It is the number the DSCR calculation uses to assess the viability of the acquisition financing. And it is the number the Stress Doctrine™ subjects to the eighty percent revenue scenario that tests whether the acquisition can survive operational disruption.</w:t>
      </w:r>
    </w:p>
    <w:p>
      <w:pPr>
        <w:pStyle w:val="Normal"/>
        <w:spacing w:before="0" w:after="160"/>
        <w:jc w:val="both"/>
        <w:rPr/>
      </w:pPr>
      <w:r>
        <w:rPr/>
        <w:t xml:space="preserve">Sustainable EBITDA is constructed — not reported. The reported number is the seller's view of what the business produced. The sustainable number is the buyer's determination of what the business can continue to produce. These are different calculations performed by parties with different information and different incentives, and the difference between them is where the price negotiation that this book's frameworks are designed to support must occur. </w:t>
      </w:r>
      <w:r>
        <w:rPr>
          <w:i/>
          <w:iCs/>
        </w:rPr>
        <w:t>Projections are not reality.</w:t>
      </w:r>
      <w:r>
        <w:rPr/>
        <w:t xml:space="preserve"> Sustainable earnings are not projections. They are the analyst's best determination of economic reality, derived from the specific characteristics of the specific business, and they are the only valid basis for the price the buyer should be willing to pay.</w:t>
      </w:r>
    </w:p>
    <w:p>
      <w:pPr>
        <w:pStyle w:val="Heading2"/>
        <w:spacing w:before="280" w:after="160"/>
        <w:rPr/>
      </w:pPr>
      <w:r>
        <w:rPr/>
        <w:t>The Linehaul M&amp;A Blueprint™ Master Valuation Instrument — myGroundForce®</w:t>
      </w:r>
    </w:p>
    <w:p>
      <w:pPr>
        <w:pStyle w:val="Normal"/>
        <w:spacing w:before="0" w:after="160"/>
        <w:jc w:val="both"/>
        <w:rPr/>
      </w:pPr>
      <w:r>
        <w:rPr/>
        <w:t>The five-adjustment normalization described in this chapter is executed within the Master Valuation Instrument — the integrated analytical workbook that connects every framework in this book into a single, formula-driven instrument. All inputs are entered once in the CONTROL sheet and flow automatically to every analytical component. The exhibit below shows the instrument's sheet structure and what each sheet produces. The functional instrument with all underlying formulas is available under license through myGroundForce®.</w:t>
      </w:r>
    </w:p>
    <w:p>
      <w:pPr>
        <w:pStyle w:val="Normal"/>
        <w:spacing w:before="0" w:after="160"/>
        <w:jc w:val="both"/>
        <w:rPr/>
      </w:pPr>
      <w:r>
        <w:rPr>
          <w:i/>
          <w:iCs/>
        </w:rPr>
        <w:t>Illustrative only — based on hypothetical business used throughout this book. All figures are for instructional purposes. Licensed instrument inputs and outputs reflect actual transaction data.</w:t>
      </w:r>
    </w:p>
    <w:tbl>
      <w:tblPr>
        <w:tblW w:w="9360" w:type="dxa"/>
        <w:jc w:val="left"/>
        <w:tblInd w:w="0" w:type="dxa"/>
        <w:tblLayout w:type="fixed"/>
        <w:tblCellMar>
          <w:top w:w="80" w:type="dxa"/>
          <w:left w:w="120" w:type="dxa"/>
          <w:bottom w:w="80" w:type="dxa"/>
          <w:right w:w="120" w:type="dxa"/>
        </w:tblCellMar>
      </w:tblPr>
      <w:tblGrid>
        <w:gridCol w:w="3120"/>
        <w:gridCol w:w="3120"/>
        <w:gridCol w:w="3120"/>
      </w:tblGrid>
      <w:tr>
        <w:trPr/>
        <w:tc>
          <w:tcPr>
            <w:tcW w:w="9360" w:type="dxa"/>
            <w:gridSpan w:val="3"/>
            <w:tcBorders>
              <w:top w:val="single" w:sz="4" w:space="0" w:color="999999"/>
              <w:left w:val="single" w:sz="4" w:space="0" w:color="999999"/>
              <w:bottom w:val="single" w:sz="4" w:space="0" w:color="999999"/>
              <w:right w:val="single" w:sz="4" w:space="0" w:color="999999"/>
            </w:tcBorders>
            <w:shd w:fill="E8EEF4" w:val="clear"/>
          </w:tcPr>
          <w:p>
            <w:pPr>
              <w:pStyle w:val="Normal"/>
              <w:rPr/>
            </w:pPr>
            <w:r>
              <w:rPr>
                <w:b/>
                <w:bCs/>
                <w:sz w:val="20"/>
                <w:szCs w:val="20"/>
              </w:rPr>
              <w:t>ILLUSTRATION 7: MASTER VALUATION INSTRUMENT — SUSTAINABLE EARNINGS (EARNINGS SHEET)</w:t>
            </w:r>
          </w:p>
        </w:tc>
      </w:tr>
      <w:tr>
        <w:trPr/>
        <w:tc>
          <w:tcPr>
            <w:tcW w:w="3120" w:type="dxa"/>
            <w:tcBorders>
              <w:top w:val="single" w:sz="4" w:space="0" w:color="999999"/>
              <w:left w:val="single" w:sz="4" w:space="0" w:color="999999"/>
              <w:bottom w:val="single" w:sz="4" w:space="0" w:color="999999"/>
              <w:right w:val="single" w:sz="4" w:space="0" w:color="999999"/>
            </w:tcBorders>
          </w:tcPr>
          <w:p>
            <w:pPr>
              <w:pStyle w:val="Normal"/>
              <w:rPr/>
            </w:pPr>
            <w:r>
              <w:rPr>
                <w:b/>
                <w:bCs/>
                <w:sz w:val="20"/>
                <w:szCs w:val="20"/>
              </w:rPr>
              <w:t>Adjustment</w:t>
            </w:r>
          </w:p>
        </w:tc>
        <w:tc>
          <w:tcPr>
            <w:tcW w:w="3120" w:type="dxa"/>
            <w:tcBorders>
              <w:top w:val="single" w:sz="4" w:space="0" w:color="999999"/>
              <w:left w:val="single" w:sz="4" w:space="0" w:color="999999"/>
              <w:bottom w:val="single" w:sz="4" w:space="0" w:color="999999"/>
              <w:right w:val="single" w:sz="4" w:space="0" w:color="999999"/>
            </w:tcBorders>
          </w:tcPr>
          <w:p>
            <w:pPr>
              <w:pStyle w:val="Normal"/>
              <w:rPr/>
            </w:pPr>
            <w:r>
              <w:rPr>
                <w:b/>
                <w:bCs/>
                <w:sz w:val="20"/>
                <w:szCs w:val="20"/>
              </w:rPr>
              <w:t>Amount ($)</w:t>
            </w:r>
          </w:p>
        </w:tc>
        <w:tc>
          <w:tcPr>
            <w:tcW w:w="3120" w:type="dxa"/>
            <w:tcBorders>
              <w:top w:val="single" w:sz="4" w:space="0" w:color="999999"/>
              <w:left w:val="single" w:sz="4" w:space="0" w:color="999999"/>
              <w:bottom w:val="single" w:sz="4" w:space="0" w:color="999999"/>
              <w:right w:val="single" w:sz="4" w:space="0" w:color="999999"/>
            </w:tcBorders>
          </w:tcPr>
          <w:p>
            <w:pPr>
              <w:pStyle w:val="Normal"/>
              <w:rPr/>
            </w:pPr>
            <w:r>
              <w:rPr>
                <w:b/>
                <w:bCs/>
                <w:sz w:val="20"/>
                <w:szCs w:val="20"/>
              </w:rPr>
              <w:t>Basis</w:t>
            </w:r>
          </w:p>
        </w:tc>
      </w:tr>
      <w:tr>
        <w:trPr/>
        <w:tc>
          <w:tcPr>
            <w:tcW w:w="9360" w:type="dxa"/>
            <w:gridSpan w:val="3"/>
            <w:tcBorders>
              <w:top w:val="single" w:sz="4" w:space="0" w:color="999999"/>
              <w:left w:val="single" w:sz="4" w:space="0" w:color="999999"/>
              <w:bottom w:val="single" w:sz="4" w:space="0" w:color="999999"/>
              <w:right w:val="single" w:sz="4" w:space="0" w:color="999999"/>
            </w:tcBorders>
            <w:shd w:fill="E8EEF4" w:val="clear"/>
          </w:tcPr>
          <w:p>
            <w:pPr>
              <w:pStyle w:val="Normal"/>
              <w:rPr/>
            </w:pPr>
            <w:r>
              <w:rPr>
                <w:b/>
                <w:bCs/>
                <w:sz w:val="20"/>
                <w:szCs w:val="20"/>
              </w:rPr>
              <w:t>STARTING POINT</w:t>
            </w:r>
          </w:p>
        </w:tc>
      </w:tr>
      <w:tr>
        <w:trPr/>
        <w:tc>
          <w:tcPr>
            <w:tcW w:w="3120" w:type="dxa"/>
            <w:tcBorders>
              <w:top w:val="single" w:sz="4" w:space="0" w:color="999999"/>
              <w:left w:val="single" w:sz="4" w:space="0" w:color="999999"/>
              <w:bottom w:val="single" w:sz="4" w:space="0" w:color="999999"/>
              <w:right w:val="single" w:sz="4" w:space="0" w:color="999999"/>
            </w:tcBorders>
          </w:tcPr>
          <w:p>
            <w:pPr>
              <w:pStyle w:val="Normal"/>
              <w:rPr/>
            </w:pPr>
            <w:r>
              <w:rPr>
                <w:sz w:val="20"/>
                <w:szCs w:val="20"/>
              </w:rPr>
              <w:t>Reported EBITDA</w:t>
            </w:r>
          </w:p>
        </w:tc>
        <w:tc>
          <w:tcPr>
            <w:tcW w:w="3120" w:type="dxa"/>
            <w:tcBorders>
              <w:top w:val="single" w:sz="4" w:space="0" w:color="999999"/>
              <w:left w:val="single" w:sz="4" w:space="0" w:color="999999"/>
              <w:bottom w:val="single" w:sz="4" w:space="0" w:color="999999"/>
              <w:right w:val="single" w:sz="4" w:space="0" w:color="999999"/>
            </w:tcBorders>
          </w:tcPr>
          <w:p>
            <w:pPr>
              <w:pStyle w:val="Normal"/>
              <w:rPr/>
            </w:pPr>
            <w:r>
              <w:rPr>
                <w:sz w:val="20"/>
                <w:szCs w:val="20"/>
              </w:rPr>
              <w:t>$320,000</w:t>
            </w:r>
          </w:p>
        </w:tc>
        <w:tc>
          <w:tcPr>
            <w:tcW w:w="3120" w:type="dxa"/>
            <w:tcBorders>
              <w:top w:val="single" w:sz="4" w:space="0" w:color="999999"/>
              <w:left w:val="single" w:sz="4" w:space="0" w:color="999999"/>
              <w:bottom w:val="single" w:sz="4" w:space="0" w:color="999999"/>
              <w:right w:val="single" w:sz="4" w:space="0" w:color="999999"/>
            </w:tcBorders>
          </w:tcPr>
          <w:p>
            <w:pPr>
              <w:pStyle w:val="Normal"/>
              <w:rPr/>
            </w:pPr>
            <w:r>
              <w:rPr>
                <w:sz w:val="20"/>
                <w:szCs w:val="20"/>
              </w:rPr>
              <w:t>Seller financial statements</w:t>
            </w:r>
          </w:p>
        </w:tc>
      </w:tr>
      <w:tr>
        <w:trPr/>
        <w:tc>
          <w:tcPr>
            <w:tcW w:w="9360" w:type="dxa"/>
            <w:gridSpan w:val="3"/>
            <w:tcBorders>
              <w:top w:val="single" w:sz="4" w:space="0" w:color="999999"/>
              <w:left w:val="single" w:sz="4" w:space="0" w:color="999999"/>
              <w:bottom w:val="single" w:sz="4" w:space="0" w:color="999999"/>
              <w:right w:val="single" w:sz="4" w:space="0" w:color="999999"/>
            </w:tcBorders>
            <w:shd w:fill="E8EEF4" w:val="clear"/>
          </w:tcPr>
          <w:p>
            <w:pPr>
              <w:pStyle w:val="Normal"/>
              <w:rPr/>
            </w:pPr>
            <w:r>
              <w:rPr>
                <w:b/>
                <w:bCs/>
                <w:sz w:val="20"/>
                <w:szCs w:val="20"/>
              </w:rPr>
              <w:t>NORMALIZATION ADJUSTMENTS</w:t>
            </w:r>
          </w:p>
        </w:tc>
      </w:tr>
      <w:tr>
        <w:trPr/>
        <w:tc>
          <w:tcPr>
            <w:tcW w:w="3120" w:type="dxa"/>
            <w:tcBorders>
              <w:top w:val="single" w:sz="4" w:space="0" w:color="999999"/>
              <w:left w:val="single" w:sz="4" w:space="0" w:color="999999"/>
              <w:bottom w:val="single" w:sz="4" w:space="0" w:color="999999"/>
              <w:right w:val="single" w:sz="4" w:space="0" w:color="999999"/>
            </w:tcBorders>
          </w:tcPr>
          <w:p>
            <w:pPr>
              <w:pStyle w:val="Normal"/>
              <w:rPr/>
            </w:pPr>
            <w:r>
              <w:rPr>
                <w:sz w:val="20"/>
                <w:szCs w:val="20"/>
              </w:rPr>
              <w:t>Owner compensation adjustment</w:t>
            </w:r>
          </w:p>
        </w:tc>
        <w:tc>
          <w:tcPr>
            <w:tcW w:w="3120" w:type="dxa"/>
            <w:tcBorders>
              <w:top w:val="single" w:sz="4" w:space="0" w:color="999999"/>
              <w:left w:val="single" w:sz="4" w:space="0" w:color="999999"/>
              <w:bottom w:val="single" w:sz="4" w:space="0" w:color="999999"/>
              <w:right w:val="single" w:sz="4" w:space="0" w:color="999999"/>
            </w:tcBorders>
          </w:tcPr>
          <w:p>
            <w:pPr>
              <w:pStyle w:val="Normal"/>
              <w:rPr/>
            </w:pPr>
            <w:r>
              <w:rPr>
                <w:sz w:val="20"/>
                <w:szCs w:val="20"/>
              </w:rPr>
              <w:t>+$30,000</w:t>
            </w:r>
          </w:p>
        </w:tc>
        <w:tc>
          <w:tcPr>
            <w:tcW w:w="3120" w:type="dxa"/>
            <w:tcBorders>
              <w:top w:val="single" w:sz="4" w:space="0" w:color="999999"/>
              <w:left w:val="single" w:sz="4" w:space="0" w:color="999999"/>
              <w:bottom w:val="single" w:sz="4" w:space="0" w:color="999999"/>
              <w:right w:val="single" w:sz="4" w:space="0" w:color="999999"/>
            </w:tcBorders>
          </w:tcPr>
          <w:p>
            <w:pPr>
              <w:pStyle w:val="Normal"/>
              <w:rPr/>
            </w:pPr>
            <w:r>
              <w:rPr>
                <w:sz w:val="20"/>
                <w:szCs w:val="20"/>
              </w:rPr>
              <w:t>Owner reported $65K vs $95K market replacement</w:t>
            </w:r>
          </w:p>
        </w:tc>
      </w:tr>
      <w:tr>
        <w:trPr/>
        <w:tc>
          <w:tcPr>
            <w:tcW w:w="3120" w:type="dxa"/>
            <w:tcBorders>
              <w:top w:val="single" w:sz="4" w:space="0" w:color="999999"/>
              <w:left w:val="single" w:sz="4" w:space="0" w:color="999999"/>
              <w:bottom w:val="single" w:sz="4" w:space="0" w:color="999999"/>
              <w:right w:val="single" w:sz="4" w:space="0" w:color="999999"/>
            </w:tcBorders>
          </w:tcPr>
          <w:p>
            <w:pPr>
              <w:pStyle w:val="Normal"/>
              <w:rPr/>
            </w:pPr>
            <w:r>
              <w:rPr>
                <w:sz w:val="20"/>
                <w:szCs w:val="20"/>
              </w:rPr>
              <w:t>Capital reserve normalization</w:t>
            </w:r>
          </w:p>
        </w:tc>
        <w:tc>
          <w:tcPr>
            <w:tcW w:w="3120" w:type="dxa"/>
            <w:tcBorders>
              <w:top w:val="single" w:sz="4" w:space="0" w:color="999999"/>
              <w:left w:val="single" w:sz="4" w:space="0" w:color="999999"/>
              <w:bottom w:val="single" w:sz="4" w:space="0" w:color="999999"/>
              <w:right w:val="single" w:sz="4" w:space="0" w:color="999999"/>
            </w:tcBorders>
          </w:tcPr>
          <w:p>
            <w:pPr>
              <w:pStyle w:val="Normal"/>
              <w:rPr/>
            </w:pPr>
            <w:r>
              <w:rPr>
                <w:sz w:val="20"/>
                <w:szCs w:val="20"/>
              </w:rPr>
              <w:t>(–$75,000)</w:t>
            </w:r>
          </w:p>
        </w:tc>
        <w:tc>
          <w:tcPr>
            <w:tcW w:w="3120" w:type="dxa"/>
            <w:tcBorders>
              <w:top w:val="single" w:sz="4" w:space="0" w:color="999999"/>
              <w:left w:val="single" w:sz="4" w:space="0" w:color="999999"/>
              <w:bottom w:val="single" w:sz="4" w:space="0" w:color="999999"/>
              <w:right w:val="single" w:sz="4" w:space="0" w:color="999999"/>
            </w:tcBorders>
          </w:tcPr>
          <w:p>
            <w:pPr>
              <w:pStyle w:val="Normal"/>
              <w:rPr/>
            </w:pPr>
            <w:r>
              <w:rPr>
                <w:sz w:val="20"/>
                <w:szCs w:val="20"/>
              </w:rPr>
              <w:t>6 trucks × utilization-adjusted reserve</w:t>
            </w:r>
          </w:p>
        </w:tc>
      </w:tr>
      <w:tr>
        <w:trPr/>
        <w:tc>
          <w:tcPr>
            <w:tcW w:w="3120" w:type="dxa"/>
            <w:tcBorders>
              <w:top w:val="single" w:sz="4" w:space="0" w:color="999999"/>
              <w:left w:val="single" w:sz="4" w:space="0" w:color="999999"/>
              <w:bottom w:val="single" w:sz="4" w:space="0" w:color="999999"/>
              <w:right w:val="single" w:sz="4" w:space="0" w:color="999999"/>
            </w:tcBorders>
          </w:tcPr>
          <w:p>
            <w:pPr>
              <w:pStyle w:val="Normal"/>
              <w:rPr/>
            </w:pPr>
            <w:r>
              <w:rPr>
                <w:sz w:val="20"/>
                <w:szCs w:val="20"/>
              </w:rPr>
              <w:t>Maintenance normalization</w:t>
            </w:r>
          </w:p>
        </w:tc>
        <w:tc>
          <w:tcPr>
            <w:tcW w:w="3120" w:type="dxa"/>
            <w:tcBorders>
              <w:top w:val="single" w:sz="4" w:space="0" w:color="999999"/>
              <w:left w:val="single" w:sz="4" w:space="0" w:color="999999"/>
              <w:bottom w:val="single" w:sz="4" w:space="0" w:color="999999"/>
              <w:right w:val="single" w:sz="4" w:space="0" w:color="999999"/>
            </w:tcBorders>
          </w:tcPr>
          <w:p>
            <w:pPr>
              <w:pStyle w:val="Normal"/>
              <w:rPr/>
            </w:pPr>
            <w:r>
              <w:rPr>
                <w:sz w:val="20"/>
                <w:szCs w:val="20"/>
              </w:rPr>
              <w:t>(–$14,000)</w:t>
            </w:r>
          </w:p>
        </w:tc>
        <w:tc>
          <w:tcPr>
            <w:tcW w:w="3120" w:type="dxa"/>
            <w:tcBorders>
              <w:top w:val="single" w:sz="4" w:space="0" w:color="999999"/>
              <w:left w:val="single" w:sz="4" w:space="0" w:color="999999"/>
              <w:bottom w:val="single" w:sz="4" w:space="0" w:color="999999"/>
              <w:right w:val="single" w:sz="4" w:space="0" w:color="999999"/>
            </w:tcBorders>
          </w:tcPr>
          <w:p>
            <w:pPr>
              <w:pStyle w:val="Normal"/>
              <w:rPr/>
            </w:pPr>
            <w:r>
              <w:rPr>
                <w:sz w:val="20"/>
                <w:szCs w:val="20"/>
              </w:rPr>
              <w:t>Reported $58K &lt; 4% floor ($72K); shortfall added back</w:t>
            </w:r>
          </w:p>
        </w:tc>
      </w:tr>
      <w:tr>
        <w:trPr/>
        <w:tc>
          <w:tcPr>
            <w:tcW w:w="9360" w:type="dxa"/>
            <w:gridSpan w:val="3"/>
            <w:tcBorders>
              <w:top w:val="single" w:sz="4" w:space="0" w:color="999999"/>
              <w:left w:val="single" w:sz="4" w:space="0" w:color="999999"/>
              <w:bottom w:val="single" w:sz="4" w:space="0" w:color="999999"/>
              <w:right w:val="single" w:sz="4" w:space="0" w:color="999999"/>
            </w:tcBorders>
            <w:shd w:fill="E8EEF4" w:val="clear"/>
          </w:tcPr>
          <w:p>
            <w:pPr>
              <w:pStyle w:val="Normal"/>
              <w:rPr/>
            </w:pPr>
            <w:r>
              <w:rPr>
                <w:b/>
                <w:bCs/>
                <w:sz w:val="20"/>
                <w:szCs w:val="20"/>
              </w:rPr>
              <w:t>REVENUE DURABILITY ADJUSTMENTS</w:t>
            </w:r>
          </w:p>
        </w:tc>
      </w:tr>
      <w:tr>
        <w:trPr/>
        <w:tc>
          <w:tcPr>
            <w:tcW w:w="3120" w:type="dxa"/>
            <w:tcBorders>
              <w:top w:val="single" w:sz="4" w:space="0" w:color="999999"/>
              <w:left w:val="single" w:sz="4" w:space="0" w:color="999999"/>
              <w:bottom w:val="single" w:sz="4" w:space="0" w:color="999999"/>
              <w:right w:val="single" w:sz="4" w:space="0" w:color="999999"/>
            </w:tcBorders>
          </w:tcPr>
          <w:p>
            <w:pPr>
              <w:pStyle w:val="Normal"/>
              <w:rPr/>
            </w:pPr>
            <w:r>
              <w:rPr>
                <w:sz w:val="20"/>
                <w:szCs w:val="20"/>
              </w:rPr>
              <w:t>Peak incentive exclusion</w:t>
            </w:r>
          </w:p>
        </w:tc>
        <w:tc>
          <w:tcPr>
            <w:tcW w:w="3120" w:type="dxa"/>
            <w:tcBorders>
              <w:top w:val="single" w:sz="4" w:space="0" w:color="999999"/>
              <w:left w:val="single" w:sz="4" w:space="0" w:color="999999"/>
              <w:bottom w:val="single" w:sz="4" w:space="0" w:color="999999"/>
              <w:right w:val="single" w:sz="4" w:space="0" w:color="999999"/>
            </w:tcBorders>
          </w:tcPr>
          <w:p>
            <w:pPr>
              <w:pStyle w:val="Normal"/>
              <w:rPr/>
            </w:pPr>
            <w:r>
              <w:rPr>
                <w:sz w:val="20"/>
                <w:szCs w:val="20"/>
              </w:rPr>
              <w:t>(–$21,600)</w:t>
            </w:r>
          </w:p>
        </w:tc>
        <w:tc>
          <w:tcPr>
            <w:tcW w:w="3120" w:type="dxa"/>
            <w:tcBorders>
              <w:top w:val="single" w:sz="4" w:space="0" w:color="999999"/>
              <w:left w:val="single" w:sz="4" w:space="0" w:color="999999"/>
              <w:bottom w:val="single" w:sz="4" w:space="0" w:color="999999"/>
              <w:right w:val="single" w:sz="4" w:space="0" w:color="999999"/>
            </w:tcBorders>
          </w:tcPr>
          <w:p>
            <w:pPr>
              <w:pStyle w:val="Normal"/>
              <w:rPr/>
            </w:pPr>
            <w:r>
              <w:rPr>
                <w:sz w:val="20"/>
                <w:szCs w:val="20"/>
              </w:rPr>
              <w:t>Peak = 3% of revenue; normalized out</w:t>
            </w:r>
          </w:p>
        </w:tc>
      </w:tr>
      <w:tr>
        <w:trPr/>
        <w:tc>
          <w:tcPr>
            <w:tcW w:w="3120" w:type="dxa"/>
            <w:tcBorders>
              <w:top w:val="single" w:sz="4" w:space="0" w:color="999999"/>
              <w:left w:val="single" w:sz="4" w:space="0" w:color="999999"/>
              <w:bottom w:val="single" w:sz="4" w:space="0" w:color="999999"/>
              <w:right w:val="single" w:sz="4" w:space="0" w:color="999999"/>
            </w:tcBorders>
          </w:tcPr>
          <w:p>
            <w:pPr>
              <w:pStyle w:val="Normal"/>
              <w:rPr/>
            </w:pPr>
            <w:r>
              <w:rPr>
                <w:sz w:val="20"/>
                <w:szCs w:val="20"/>
              </w:rPr>
              <w:t>Spot revenue discount (Tier 2, 55%)</w:t>
            </w:r>
          </w:p>
        </w:tc>
        <w:tc>
          <w:tcPr>
            <w:tcW w:w="3120" w:type="dxa"/>
            <w:tcBorders>
              <w:top w:val="single" w:sz="4" w:space="0" w:color="999999"/>
              <w:left w:val="single" w:sz="4" w:space="0" w:color="999999"/>
              <w:bottom w:val="single" w:sz="4" w:space="0" w:color="999999"/>
              <w:right w:val="single" w:sz="4" w:space="0" w:color="999999"/>
            </w:tcBorders>
          </w:tcPr>
          <w:p>
            <w:pPr>
              <w:pStyle w:val="Normal"/>
              <w:rPr/>
            </w:pPr>
            <w:r>
              <w:rPr>
                <w:sz w:val="20"/>
                <w:szCs w:val="20"/>
              </w:rPr>
              <w:t>(–$21,120)</w:t>
            </w:r>
          </w:p>
        </w:tc>
        <w:tc>
          <w:tcPr>
            <w:tcW w:w="3120" w:type="dxa"/>
            <w:tcBorders>
              <w:top w:val="single" w:sz="4" w:space="0" w:color="999999"/>
              <w:left w:val="single" w:sz="4" w:space="0" w:color="999999"/>
              <w:bottom w:val="single" w:sz="4" w:space="0" w:color="999999"/>
              <w:right w:val="single" w:sz="4" w:space="0" w:color="999999"/>
            </w:tcBorders>
          </w:tcPr>
          <w:p>
            <w:pPr>
              <w:pStyle w:val="Normal"/>
              <w:rPr/>
            </w:pPr>
            <w:r>
              <w:rPr>
                <w:sz w:val="20"/>
                <w:szCs w:val="20"/>
              </w:rPr>
              <w:t>$216K spot × 17.78% margin × 55% durability discount</w:t>
            </w:r>
          </w:p>
        </w:tc>
      </w:tr>
      <w:tr>
        <w:trPr/>
        <w:tc>
          <w:tcPr>
            <w:tcW w:w="9360" w:type="dxa"/>
            <w:gridSpan w:val="3"/>
            <w:tcBorders>
              <w:top w:val="single" w:sz="4" w:space="0" w:color="999999"/>
              <w:left w:val="single" w:sz="4" w:space="0" w:color="999999"/>
              <w:bottom w:val="single" w:sz="4" w:space="0" w:color="999999"/>
              <w:right w:val="single" w:sz="4" w:space="0" w:color="999999"/>
            </w:tcBorders>
            <w:shd w:fill="E8EEF4" w:val="clear"/>
          </w:tcPr>
          <w:p>
            <w:pPr>
              <w:pStyle w:val="Normal"/>
              <w:rPr/>
            </w:pPr>
            <w:r>
              <w:rPr>
                <w:b/>
                <w:bCs/>
                <w:sz w:val="20"/>
                <w:szCs w:val="20"/>
              </w:rPr>
              <w:t>RESULT</w:t>
            </w:r>
          </w:p>
        </w:tc>
      </w:tr>
      <w:tr>
        <w:trPr/>
        <w:tc>
          <w:tcPr>
            <w:tcW w:w="3120" w:type="dxa"/>
            <w:tcBorders>
              <w:top w:val="single" w:sz="4" w:space="0" w:color="999999"/>
              <w:left w:val="single" w:sz="4" w:space="0" w:color="999999"/>
              <w:bottom w:val="single" w:sz="4" w:space="0" w:color="999999"/>
              <w:right w:val="single" w:sz="4" w:space="0" w:color="999999"/>
            </w:tcBorders>
          </w:tcPr>
          <w:p>
            <w:pPr>
              <w:pStyle w:val="Normal"/>
              <w:rPr/>
            </w:pPr>
            <w:r>
              <w:rPr>
                <w:b/>
                <w:bCs/>
                <w:sz w:val="20"/>
                <w:szCs w:val="20"/>
              </w:rPr>
              <w:t xml:space="preserve">► </w:t>
            </w:r>
            <w:r>
              <w:rPr>
                <w:b/>
                <w:bCs/>
                <w:sz w:val="20"/>
                <w:szCs w:val="20"/>
              </w:rPr>
              <w:t>SUSTAINABLE EBITDA</w:t>
            </w:r>
          </w:p>
        </w:tc>
        <w:tc>
          <w:tcPr>
            <w:tcW w:w="3120" w:type="dxa"/>
            <w:tcBorders>
              <w:top w:val="single" w:sz="4" w:space="0" w:color="999999"/>
              <w:left w:val="single" w:sz="4" w:space="0" w:color="999999"/>
              <w:bottom w:val="single" w:sz="4" w:space="0" w:color="999999"/>
              <w:right w:val="single" w:sz="4" w:space="0" w:color="999999"/>
            </w:tcBorders>
          </w:tcPr>
          <w:p>
            <w:pPr>
              <w:pStyle w:val="Normal"/>
              <w:rPr/>
            </w:pPr>
            <w:r>
              <w:rPr>
                <w:b/>
                <w:bCs/>
                <w:sz w:val="20"/>
                <w:szCs w:val="20"/>
              </w:rPr>
              <w:t xml:space="preserve">► </w:t>
            </w:r>
            <w:r>
              <w:rPr>
                <w:b/>
                <w:bCs/>
                <w:sz w:val="20"/>
                <w:szCs w:val="20"/>
              </w:rPr>
              <w:t>$156,040</w:t>
            </w:r>
          </w:p>
        </w:tc>
        <w:tc>
          <w:tcPr>
            <w:tcW w:w="3120" w:type="dxa"/>
            <w:tcBorders>
              <w:top w:val="single" w:sz="4" w:space="0" w:color="999999"/>
              <w:left w:val="single" w:sz="4" w:space="0" w:color="999999"/>
              <w:bottom w:val="single" w:sz="4" w:space="0" w:color="999999"/>
              <w:right w:val="single" w:sz="4" w:space="0" w:color="999999"/>
            </w:tcBorders>
          </w:tcPr>
          <w:p>
            <w:pPr>
              <w:pStyle w:val="Normal"/>
              <w:rPr/>
            </w:pPr>
            <w:r>
              <w:rPr>
                <w:b/>
                <w:bCs/>
                <w:sz w:val="20"/>
                <w:szCs w:val="20"/>
              </w:rPr>
              <w:t xml:space="preserve">► </w:t>
            </w:r>
            <w:r>
              <w:rPr>
                <w:b/>
                <w:bCs/>
                <w:sz w:val="20"/>
                <w:szCs w:val="20"/>
              </w:rPr>
              <w:t>Applied multiple: 3.25x → EV: $507,130</w:t>
            </w:r>
          </w:p>
        </w:tc>
      </w:tr>
    </w:tbl>
    <w:p>
      <w:pPr>
        <w:pStyle w:val="Normal"/>
        <w:spacing w:before="0" w:after="120"/>
        <w:rPr/>
      </w:pPr>
      <w:r>
        <w:rPr/>
      </w:r>
    </w:p>
    <w:p>
      <w:pPr>
        <w:pStyle w:val="Normal"/>
        <w:spacing w:before="0" w:after="160"/>
        <w:jc w:val="both"/>
        <w:rPr/>
      </w:pPr>
      <w:r>
        <w:rPr>
          <w:i/>
          <w:iCs/>
        </w:rPr>
        <w:t>Normalization delta: $320,000 reported vs $156,040 sustainable — a 51% reduction driven primarily by the spot revenue discount and capital reserve. This is the Sustainable Earnings Doctrine™ working as designed. The reported number is the seller's view. The sustainable number is what the business can reliably produce under normal conditions, properly capitalized, under new ownership.</w:t>
      </w:r>
    </w:p>
    <w:tbl>
      <w:tblPr>
        <w:tblW w:w="9360" w:type="dxa"/>
        <w:jc w:val="left"/>
        <w:tblInd w:w="0" w:type="dxa"/>
        <w:tblLayout w:type="fixed"/>
        <w:tblCellMar>
          <w:top w:w="200" w:type="dxa"/>
          <w:left w:w="240" w:type="dxa"/>
          <w:bottom w:w="200" w:type="dxa"/>
          <w:right w:w="240" w:type="dxa"/>
        </w:tblCellMar>
      </w:tblPr>
      <w:tblGrid>
        <w:gridCol w:w="9360"/>
      </w:tblGrid>
      <w:tr>
        <w:trPr/>
        <w:tc>
          <w:tcPr>
            <w:tcW w:w="9360" w:type="dxa"/>
            <w:tcBorders>
              <w:top w:val="single" w:sz="10" w:space="0" w:color="C9A24E"/>
              <w:left w:val="single" w:sz="10" w:space="0" w:color="C9A24E"/>
              <w:bottom w:val="single" w:sz="10" w:space="0" w:color="C9A24E"/>
              <w:right w:val="single" w:sz="10" w:space="0" w:color="C9A24E"/>
            </w:tcBorders>
            <w:shd w:fill="FAF6ED" w:val="clear"/>
          </w:tcPr>
          <w:p>
            <w:pPr>
              <w:pStyle w:val="Normal"/>
              <w:spacing w:before="60" w:after="60"/>
              <w:jc w:val="left"/>
              <w:rPr/>
            </w:pPr>
            <w:r>
              <w:rPr>
                <w:b/>
                <w:bCs/>
                <w:sz w:val="22"/>
                <w:szCs w:val="22"/>
              </w:rPr>
              <w:t>WHAT THIS MEANS FOR THE TRANSACTION</w:t>
            </w:r>
          </w:p>
          <w:p>
            <w:pPr>
              <w:pStyle w:val="Normal"/>
              <w:spacing w:before="120" w:after="60"/>
              <w:jc w:val="left"/>
              <w:rPr/>
            </w:pPr>
            <w:r>
              <w:rPr>
                <w:sz w:val="22"/>
                <w:szCs w:val="22"/>
              </w:rPr>
              <w:t>At reported EBITDA of $320,000, a typical asking price of $1,120,000 appears to be a 3.5x multiple — reasonable by general M&amp;A standards.</w:t>
            </w:r>
          </w:p>
          <w:p>
            <w:pPr>
              <w:pStyle w:val="Normal"/>
              <w:spacing w:before="120" w:after="60"/>
              <w:jc w:val="left"/>
              <w:rPr/>
            </w:pPr>
            <w:r>
              <w:rPr>
                <w:sz w:val="22"/>
                <w:szCs w:val="22"/>
              </w:rPr>
              <w:t>At sustainable EBITDA of $156,040, the same asking price represents approximately a 7.2x multiple on the earnings the business can actually defend.</w:t>
            </w:r>
          </w:p>
          <w:p>
            <w:pPr>
              <w:pStyle w:val="Normal"/>
              <w:spacing w:before="120" w:after="60"/>
              <w:jc w:val="left"/>
              <w:rPr/>
            </w:pPr>
            <w:r>
              <w:rPr>
                <w:sz w:val="22"/>
                <w:szCs w:val="22"/>
              </w:rPr>
              <w:t>The gap between $320,000 and $156,040 is not a negotiating position. It is the analytical truth the Sustainable Earnings Doctrine™ is designed to produce. The buyer who understands this difference before signing an LOI is protected. The buyer who discovers it after closing is not.</w:t>
            </w:r>
          </w:p>
          <w:p>
            <w:pPr>
              <w:pStyle w:val="Normal"/>
              <w:spacing w:before="120" w:after="60"/>
              <w:jc w:val="left"/>
              <w:rPr/>
            </w:pPr>
            <w:r>
              <w:rPr>
                <w:sz w:val="22"/>
                <w:szCs w:val="22"/>
              </w:rPr>
              <w:t>The complete Chapter 8 continues with the full cost structure benchmarks, the Mileage Reality Doctrine™, the Equipment Market Reality Doctrine™, the Mixed Fleet Problem™, the Balance Sheet Illusion™, and the three consolidated exhibits that show the Revenue Durability Hierarchy™ tier analysis, the full Seller Advisor Normalization, and the Master Valuation Instrument in operation. Chapter 10 then develops the Linehaul Multiple Matrix™ — the risk-calibrated framework that converts sustainable EBITDA into a defensible enterprise value — and Chapter 11 develops the Capital Stack Playbook™ that structures the acquisition financing around it.</w:t>
            </w:r>
          </w:p>
        </w:tc>
      </w:tr>
    </w:tbl>
    <w:p>
      <w:pPr>
        <w:pStyle w:val="Normal"/>
        <w:spacing w:before="0" w:after="120"/>
        <w:rPr/>
      </w:pPr>
      <w:r>
        <w:rPr/>
      </w:r>
      <w:r>
        <w:br w:type="page"/>
      </w:r>
    </w:p>
    <w:p>
      <w:pPr>
        <w:pStyle w:val="Heading1"/>
        <w:spacing w:before="480" w:after="360"/>
        <w:jc w:val="center"/>
        <w:rPr/>
      </w:pPr>
      <w:r>
        <w:rPr>
          <w:b/>
          <w:bCs/>
          <w:color w:val="1F2F4F"/>
          <w:sz w:val="36"/>
          <w:szCs w:val="36"/>
        </w:rPr>
        <w:t>PRE-ORDER AT SUMMIT PRICING</w:t>
      </w:r>
    </w:p>
    <w:p>
      <w:pPr>
        <w:pStyle w:val="Normal"/>
        <w:spacing w:before="0" w:after="160"/>
        <w:jc w:val="both"/>
        <w:rPr/>
      </w:pPr>
      <w:r>
        <w:rPr/>
        <w:t>The complete book contains what this preview does not.</w:t>
      </w:r>
    </w:p>
    <w:p>
      <w:pPr>
        <w:pStyle w:val="Normal"/>
        <w:spacing w:before="0" w:after="160"/>
        <w:jc w:val="both"/>
        <w:rPr/>
      </w:pPr>
      <w:r>
        <w:rPr/>
        <w:t>What you have read is the foundation. The frameworks that protect buyers, prepare sellers, and equip lenders and advisors to do their jobs correctly in this market are in the complete book — along with four case studies that apply every framework to transaction patterns you will recognize from deals you have seen or been part of.</w:t>
      </w:r>
    </w:p>
    <w:tbl>
      <w:tblPr>
        <w:tblW w:w="9360" w:type="dxa"/>
        <w:jc w:val="left"/>
        <w:tblInd w:w="0" w:type="dxa"/>
        <w:tblLayout w:type="fixed"/>
        <w:tblCellMar>
          <w:top w:w="200" w:type="dxa"/>
          <w:left w:w="240" w:type="dxa"/>
          <w:bottom w:w="200" w:type="dxa"/>
          <w:right w:w="240" w:type="dxa"/>
        </w:tblCellMar>
      </w:tblPr>
      <w:tblGrid>
        <w:gridCol w:w="9360"/>
      </w:tblGrid>
      <w:tr>
        <w:trPr/>
        <w:tc>
          <w:tcPr>
            <w:tcW w:w="9360" w:type="dxa"/>
            <w:tcBorders>
              <w:top w:val="single" w:sz="10" w:space="0" w:color="C9A24E"/>
              <w:left w:val="single" w:sz="10" w:space="0" w:color="C9A24E"/>
              <w:bottom w:val="single" w:sz="10" w:space="0" w:color="C9A24E"/>
              <w:right w:val="single" w:sz="10" w:space="0" w:color="C9A24E"/>
            </w:tcBorders>
            <w:shd w:fill="FAF6ED" w:val="clear"/>
          </w:tcPr>
          <w:p>
            <w:pPr>
              <w:pStyle w:val="Normal"/>
              <w:spacing w:before="60" w:after="60"/>
              <w:jc w:val="left"/>
              <w:rPr/>
            </w:pPr>
            <w:r>
              <w:rPr>
                <w:b/>
                <w:bCs/>
                <w:sz w:val="22"/>
                <w:szCs w:val="22"/>
              </w:rPr>
              <w:t>NOT IN THIS PREVIEW — IN THE COMPLETE BOOK</w:t>
            </w:r>
          </w:p>
          <w:p>
            <w:pPr>
              <w:pStyle w:val="Normal"/>
              <w:spacing w:before="120" w:after="60"/>
              <w:jc w:val="left"/>
              <w:rPr/>
            </w:pPr>
            <w:r>
              <w:rPr>
                <w:b/>
                <w:bCs/>
                <w:sz w:val="22"/>
                <w:szCs w:val="22"/>
              </w:rPr>
              <w:t>→</w:t>
            </w:r>
            <w:r>
              <w:rPr>
                <w:sz w:val="22"/>
                <w:szCs w:val="22"/>
              </w:rPr>
              <w:t xml:space="preserve"> </w:t>
            </w:r>
            <w:r>
              <w:rPr>
                <w:sz w:val="22"/>
                <w:szCs w:val="22"/>
              </w:rPr>
              <w:t>The Contract Risk Index™ (CRI™) — 100-point operating agreement risk score</w:t>
            </w:r>
          </w:p>
          <w:p>
            <w:pPr>
              <w:pStyle w:val="Normal"/>
              <w:spacing w:before="120" w:after="60"/>
              <w:jc w:val="left"/>
              <w:rPr/>
            </w:pPr>
            <w:r>
              <w:rPr>
                <w:b/>
                <w:bCs/>
                <w:sz w:val="22"/>
                <w:szCs w:val="22"/>
              </w:rPr>
              <w:t>→</w:t>
            </w:r>
            <w:r>
              <w:rPr>
                <w:sz w:val="22"/>
                <w:szCs w:val="22"/>
              </w:rPr>
              <w:t xml:space="preserve"> </w:t>
            </w:r>
            <w:r>
              <w:rPr>
                <w:sz w:val="22"/>
                <w:szCs w:val="22"/>
              </w:rPr>
              <w:t>The Five Risk Pillars™ — composite risk scoring across Revenue &amp; Contract Integrity, Workforce Quality &amp; Compliance, Fleet Risk, Organizational Risk, and Financial &amp; Operational Health (30/20/20/15/15 weighted), with the Safety Culture Assessment Scorecard™ as a sub-instrument feeding Pillar 4</w:t>
            </w:r>
          </w:p>
          <w:p>
            <w:pPr>
              <w:pStyle w:val="Normal"/>
              <w:spacing w:before="120" w:after="60"/>
              <w:jc w:val="left"/>
              <w:rPr/>
            </w:pPr>
            <w:r>
              <w:rPr>
                <w:b/>
                <w:bCs/>
                <w:sz w:val="22"/>
                <w:szCs w:val="22"/>
              </w:rPr>
              <w:t>→</w:t>
            </w:r>
            <w:r>
              <w:rPr>
                <w:sz w:val="22"/>
                <w:szCs w:val="22"/>
              </w:rPr>
              <w:t xml:space="preserve"> </w:t>
            </w:r>
            <w:r>
              <w:rPr>
                <w:sz w:val="22"/>
                <w:szCs w:val="22"/>
              </w:rPr>
              <w:t>The Institutionalization Effect™ — compliance and operational infrastructure valuation</w:t>
            </w:r>
          </w:p>
          <w:p>
            <w:pPr>
              <w:pStyle w:val="Normal"/>
              <w:spacing w:before="120" w:after="60"/>
              <w:jc w:val="left"/>
              <w:rPr/>
            </w:pPr>
            <w:r>
              <w:rPr>
                <w:b/>
                <w:bCs/>
                <w:sz w:val="22"/>
                <w:szCs w:val="22"/>
              </w:rPr>
              <w:t>→</w:t>
            </w:r>
            <w:r>
              <w:rPr>
                <w:sz w:val="22"/>
                <w:szCs w:val="22"/>
              </w:rPr>
              <w:t xml:space="preserve"> </w:t>
            </w:r>
            <w:r>
              <w:rPr>
                <w:sz w:val="22"/>
                <w:szCs w:val="22"/>
              </w:rPr>
              <w:t>The Linehaul Multiple Matrix™ — risk-calibrated valuation multiples (2.75x floor / 4.25x ceiling, 4.75x with Institutional Excellence Bonus)</w:t>
            </w:r>
          </w:p>
          <w:p>
            <w:pPr>
              <w:pStyle w:val="Normal"/>
              <w:spacing w:before="120" w:after="60"/>
              <w:jc w:val="left"/>
              <w:rPr/>
            </w:pPr>
            <w:r>
              <w:rPr>
                <w:b/>
                <w:bCs/>
                <w:sz w:val="22"/>
                <w:szCs w:val="22"/>
              </w:rPr>
              <w:t>→</w:t>
            </w:r>
            <w:r>
              <w:rPr>
                <w:sz w:val="22"/>
                <w:szCs w:val="22"/>
              </w:rPr>
              <w:t xml:space="preserve"> </w:t>
            </w:r>
            <w:r>
              <w:rPr>
                <w:sz w:val="22"/>
                <w:szCs w:val="22"/>
              </w:rPr>
              <w:t>The Capital Stack Playbook™ — SBA-structured acquisition financing</w:t>
            </w:r>
          </w:p>
          <w:p>
            <w:pPr>
              <w:pStyle w:val="Normal"/>
              <w:spacing w:before="120" w:after="60"/>
              <w:jc w:val="left"/>
              <w:rPr/>
            </w:pPr>
            <w:r>
              <w:rPr>
                <w:b/>
                <w:bCs/>
                <w:sz w:val="22"/>
                <w:szCs w:val="22"/>
              </w:rPr>
              <w:t>→</w:t>
            </w:r>
            <w:r>
              <w:rPr>
                <w:sz w:val="22"/>
                <w:szCs w:val="22"/>
              </w:rPr>
              <w:t xml:space="preserve"> </w:t>
            </w:r>
            <w:r>
              <w:rPr>
                <w:sz w:val="22"/>
                <w:szCs w:val="22"/>
              </w:rPr>
              <w:t>The Stress Doctrine™ — 80% and 65% revenue stress tests</w:t>
            </w:r>
          </w:p>
          <w:p>
            <w:pPr>
              <w:pStyle w:val="Normal"/>
              <w:spacing w:before="120" w:after="60"/>
              <w:jc w:val="left"/>
              <w:rPr/>
            </w:pPr>
            <w:r>
              <w:rPr>
                <w:b/>
                <w:bCs/>
                <w:sz w:val="22"/>
                <w:szCs w:val="22"/>
              </w:rPr>
              <w:t>→</w:t>
            </w:r>
            <w:r>
              <w:rPr>
                <w:sz w:val="22"/>
                <w:szCs w:val="22"/>
              </w:rPr>
              <w:t xml:space="preserve"> </w:t>
            </w:r>
            <w:r>
              <w:rPr>
                <w:sz w:val="22"/>
                <w:szCs w:val="22"/>
              </w:rPr>
              <w:t>The Linehaul Due Diligence System™ — 7 workstreams with phased pre-LOI / post-LOI architecture</w:t>
            </w:r>
          </w:p>
          <w:p>
            <w:pPr>
              <w:pStyle w:val="Normal"/>
              <w:spacing w:before="120" w:after="60"/>
              <w:jc w:val="left"/>
              <w:rPr/>
            </w:pPr>
            <w:r>
              <w:rPr>
                <w:b/>
                <w:bCs/>
                <w:sz w:val="22"/>
                <w:szCs w:val="22"/>
              </w:rPr>
              <w:t>→</w:t>
            </w:r>
            <w:r>
              <w:rPr>
                <w:sz w:val="22"/>
                <w:szCs w:val="22"/>
              </w:rPr>
              <w:t xml:space="preserve"> </w:t>
            </w:r>
            <w:r>
              <w:rPr>
                <w:sz w:val="22"/>
                <w:szCs w:val="22"/>
              </w:rPr>
              <w:t>Settlement Intelligence &amp; WorthX™ — 12-month settlement data analysis</w:t>
            </w:r>
          </w:p>
          <w:p>
            <w:pPr>
              <w:pStyle w:val="Normal"/>
              <w:spacing w:before="120" w:after="60"/>
              <w:jc w:val="left"/>
              <w:rPr/>
            </w:pPr>
            <w:r>
              <w:rPr>
                <w:b/>
                <w:bCs/>
                <w:sz w:val="22"/>
                <w:szCs w:val="22"/>
              </w:rPr>
              <w:t>→</w:t>
            </w:r>
            <w:r>
              <w:rPr>
                <w:sz w:val="22"/>
                <w:szCs w:val="22"/>
              </w:rPr>
              <w:t xml:space="preserve"> </w:t>
            </w:r>
            <w:r>
              <w:rPr>
                <w:sz w:val="22"/>
                <w:szCs w:val="22"/>
              </w:rPr>
              <w:t>The Negotiation Framework — evidence-based price negotiation</w:t>
            </w:r>
          </w:p>
          <w:p>
            <w:pPr>
              <w:pStyle w:val="Normal"/>
              <w:spacing w:before="120" w:after="60"/>
              <w:jc w:val="left"/>
              <w:rPr/>
            </w:pPr>
            <w:r>
              <w:rPr>
                <w:b/>
                <w:bCs/>
                <w:sz w:val="22"/>
                <w:szCs w:val="22"/>
              </w:rPr>
              <w:t>→</w:t>
            </w:r>
            <w:r>
              <w:rPr>
                <w:sz w:val="22"/>
                <w:szCs w:val="22"/>
              </w:rPr>
              <w:t xml:space="preserve"> </w:t>
            </w:r>
            <w:r>
              <w:rPr>
                <w:sz w:val="22"/>
                <w:szCs w:val="22"/>
              </w:rPr>
              <w:t>Structuring the Deal — LOI, earnouts, holdbacks, escrow, Seller Debt Clearance</w:t>
            </w:r>
          </w:p>
          <w:p>
            <w:pPr>
              <w:pStyle w:val="Normal"/>
              <w:spacing w:before="120" w:after="60"/>
              <w:jc w:val="left"/>
              <w:rPr/>
            </w:pPr>
            <w:r>
              <w:rPr>
                <w:b/>
                <w:bCs/>
                <w:sz w:val="22"/>
                <w:szCs w:val="22"/>
              </w:rPr>
              <w:t>→</w:t>
            </w:r>
            <w:r>
              <w:rPr>
                <w:sz w:val="22"/>
                <w:szCs w:val="22"/>
              </w:rPr>
              <w:t xml:space="preserve"> </w:t>
            </w:r>
            <w:r>
              <w:rPr>
                <w:sz w:val="22"/>
                <w:szCs w:val="22"/>
              </w:rPr>
              <w:t>The Overpriced Operator — case study</w:t>
            </w:r>
          </w:p>
          <w:p>
            <w:pPr>
              <w:pStyle w:val="Normal"/>
              <w:spacing w:before="120" w:after="60"/>
              <w:jc w:val="left"/>
              <w:rPr/>
            </w:pPr>
            <w:r>
              <w:rPr>
                <w:b/>
                <w:bCs/>
                <w:sz w:val="22"/>
                <w:szCs w:val="22"/>
              </w:rPr>
              <w:t>→</w:t>
            </w:r>
            <w:r>
              <w:rPr>
                <w:sz w:val="22"/>
                <w:szCs w:val="22"/>
              </w:rPr>
              <w:t xml:space="preserve"> </w:t>
            </w:r>
            <w:r>
              <w:rPr>
                <w:sz w:val="22"/>
                <w:szCs w:val="22"/>
              </w:rPr>
              <w:t>The Premium Platform — case study</w:t>
            </w:r>
          </w:p>
          <w:p>
            <w:pPr>
              <w:pStyle w:val="Normal"/>
              <w:spacing w:before="120" w:after="60"/>
              <w:jc w:val="left"/>
              <w:rPr/>
            </w:pPr>
            <w:r>
              <w:rPr>
                <w:b/>
                <w:bCs/>
                <w:sz w:val="22"/>
                <w:szCs w:val="22"/>
              </w:rPr>
              <w:t>→</w:t>
            </w:r>
            <w:r>
              <w:rPr>
                <w:sz w:val="22"/>
                <w:szCs w:val="22"/>
              </w:rPr>
              <w:t xml:space="preserve"> </w:t>
            </w:r>
            <w:r>
              <w:rPr>
                <w:sz w:val="22"/>
                <w:szCs w:val="22"/>
              </w:rPr>
              <w:t>The Fleet Time Bomb — case study</w:t>
            </w:r>
          </w:p>
          <w:p>
            <w:pPr>
              <w:pStyle w:val="Normal"/>
              <w:spacing w:before="120" w:after="60"/>
              <w:jc w:val="left"/>
              <w:rPr/>
            </w:pPr>
            <w:r>
              <w:rPr>
                <w:b/>
                <w:bCs/>
                <w:sz w:val="22"/>
                <w:szCs w:val="22"/>
              </w:rPr>
              <w:t>→</w:t>
            </w:r>
            <w:r>
              <w:rPr>
                <w:sz w:val="22"/>
                <w:szCs w:val="22"/>
              </w:rPr>
              <w:t xml:space="preserve"> </w:t>
            </w:r>
            <w:r>
              <w:rPr>
                <w:sz w:val="22"/>
                <w:szCs w:val="22"/>
              </w:rPr>
              <w:t>The Peak and Spot Illusion Business — case study</w:t>
            </w:r>
          </w:p>
          <w:p>
            <w:pPr>
              <w:pStyle w:val="Normal"/>
              <w:spacing w:before="120" w:after="60"/>
              <w:jc w:val="left"/>
              <w:rPr/>
            </w:pPr>
            <w:r>
              <w:rPr>
                <w:b/>
                <w:bCs/>
                <w:sz w:val="22"/>
                <w:szCs w:val="22"/>
              </w:rPr>
              <w:t>→</w:t>
            </w:r>
            <w:r>
              <w:rPr>
                <w:sz w:val="22"/>
                <w:szCs w:val="22"/>
              </w:rPr>
              <w:t xml:space="preserve"> </w:t>
            </w:r>
            <w:r>
              <w:rPr>
                <w:sz w:val="22"/>
                <w:szCs w:val="22"/>
              </w:rPr>
              <w:t>14 consolidated Analytical Exhibits embedded in the chapters they support</w:t>
            </w:r>
          </w:p>
          <w:p>
            <w:pPr>
              <w:pStyle w:val="Normal"/>
              <w:spacing w:before="120" w:after="60"/>
              <w:jc w:val="left"/>
              <w:rPr/>
            </w:pPr>
            <w:r>
              <w:rPr>
                <w:b/>
                <w:bCs/>
                <w:sz w:val="22"/>
                <w:szCs w:val="22"/>
              </w:rPr>
              <w:t>→</w:t>
            </w:r>
            <w:r>
              <w:rPr>
                <w:sz w:val="22"/>
                <w:szCs w:val="22"/>
              </w:rPr>
              <w:t xml:space="preserve"> </w:t>
            </w:r>
            <w:r>
              <w:rPr>
                <w:sz w:val="22"/>
                <w:szCs w:val="22"/>
              </w:rPr>
              <w:t>5 licensed analytical instruments (Master Valuation Instrument™, Client Valuation Report™, Seller Exit Readiness Assessment™, Seller Advisor Assessment™, Linehaul Due Diligence System™ Field Checklist)</w:t>
            </w:r>
          </w:p>
        </w:tc>
      </w:tr>
    </w:tbl>
    <w:p>
      <w:pPr>
        <w:pStyle w:val="Normal"/>
        <w:spacing w:before="0" w:after="120"/>
        <w:rPr/>
      </w:pPr>
      <w:r>
        <w:rPr/>
      </w:r>
    </w:p>
    <w:sectPr>
      <w:headerReference w:type="even" r:id="rId2"/>
      <w:headerReference w:type="default" r:id="rId3"/>
      <w:headerReference w:type="first" r:id="rId4"/>
      <w:footerReference w:type="even" r:id="rId5"/>
      <w:footerReference w:type="default" r:id="rId6"/>
      <w:footerReference w:type="first" r:id="rId7"/>
      <w:type w:val="nextPage"/>
      <w:pgSz w:w="12240" w:h="15840"/>
      <w:pgMar w:left="1440" w:right="1440" w:gutter="0" w:header="708" w:top="1440" w:footer="708" w:bottom="1440"/>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Arial">
    <w:charset w:val="01"/>
    <w:family w:val="roman"/>
    <w:pitch w:val="variable"/>
  </w:font>
  <w:font w:name="Arial">
    <w:charset w:val="01"/>
    <w:family w:val="swiss"/>
    <w:pitch w:val="variable"/>
  </w:font>
  <w:font w:name="Liberation Sans">
    <w:altName w:val="Arial"/>
    <w:charset w:val="01"/>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jc w:val="center"/>
      <w:rPr/>
    </w:pPr>
    <w:r>
      <w:rPr/>
      <w:fldChar w:fldCharType="begin"/>
    </w:r>
    <w:r>
      <w:rPr/>
      <w:instrText xml:space="preserve"> PAGE </w:instrText>
    </w:r>
    <w:r>
      <w:rPr/>
      <w:fldChar w:fldCharType="separate"/>
    </w:r>
    <w:r>
      <w:rPr/>
      <w:t>15</w:t>
    </w:r>
    <w:r>
      <w:rPr/>
      <w:fldChar w:fldCharType="end"/>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jc w:val="center"/>
      <w:rPr/>
    </w:pPr>
    <w:r>
      <w:rPr/>
      <w:fldChar w:fldCharType="begin"/>
    </w:r>
    <w:r>
      <w:rPr/>
      <w:instrText xml:space="preserve"> PAGE </w:instrText>
    </w:r>
    <w:r>
      <w:rPr/>
      <w:fldChar w:fldCharType="separate"/>
    </w:r>
    <w:r>
      <w:rPr/>
      <w:t>15</w:t>
    </w:r>
    <w:r>
      <w:rPr/>
      <w:fldChar w:fldCharType="end"/>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jc w:val="center"/>
      <w:rPr/>
    </w:pPr>
    <w:r>
      <w:rPr>
        <w:i/>
        <w:iCs/>
        <w:color w:val="666666"/>
        <w:sz w:val="18"/>
        <w:szCs w:val="18"/>
      </w:rPr>
      <w:t>The Linehaul M&amp;A Blueprint™  ·  Advance Preview Edition</w:t>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jc w:val="center"/>
      <w:rPr/>
    </w:pPr>
    <w:r>
      <w:rPr>
        <w:i/>
        <w:iCs/>
        <w:color w:val="666666"/>
        <w:sz w:val="18"/>
        <w:szCs w:val="18"/>
      </w:rPr>
      <w:t>The Linehaul M&amp;A Blueprint™  ·  Advance Preview Edition</w:t>
    </w:r>
  </w:p>
</w:hdr>
</file>

<file path=word/settings.xml><?xml version="1.0" encoding="utf-8"?>
<w:settings xmlns:w="http://schemas.openxmlformats.org/wordprocessingml/2006/main">
  <w:zoom w:percent="100"/>
  <w:defaultTabStop w:val="720"/>
  <w:autoHyphenation w:val="true"/>
  <w:compat>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Arial" w:hAnsi="Arial" w:eastAsia="Arial" w:cs="Arial"/>
        <w:sz w:val="22"/>
        <w:szCs w:val="22"/>
        <w:lang w:val="en-US" w:eastAsia="zh-CN" w:bidi="hi-IN"/>
      </w:rPr>
    </w:rPrDefault>
    <w:pPrDefault>
      <w:pPr>
        <w:suppressAutoHyphens w:val="true"/>
      </w:pPr>
    </w:pPrDefault>
  </w:docDefaults>
  <w:style w:type="paragraph" w:styleId="Normal">
    <w:name w:val="Normal"/>
    <w:qFormat/>
    <w:pPr>
      <w:widowControl/>
      <w:bidi w:val="0"/>
      <w:spacing w:before="0" w:after="0"/>
      <w:jc w:val="left"/>
    </w:pPr>
    <w:rPr>
      <w:rFonts w:ascii="Arial" w:hAnsi="Arial" w:eastAsia="Arial" w:cs="Arial"/>
      <w:color w:val="auto"/>
      <w:kern w:val="0"/>
      <w:sz w:val="22"/>
      <w:szCs w:val="22"/>
      <w:lang w:val="en-US" w:eastAsia="zh-CN" w:bidi="hi-IN"/>
    </w:rPr>
  </w:style>
  <w:style w:type="paragraph" w:styleId="Heading1">
    <w:name w:val="Heading 1"/>
    <w:basedOn w:val="Heading"/>
    <w:qFormat/>
    <w:pPr>
      <w:spacing w:before="360" w:after="240"/>
      <w:outlineLvl w:val="0"/>
    </w:pPr>
    <w:rPr>
      <w:rFonts w:ascii="Arial" w:hAnsi="Arial" w:eastAsia="Arial" w:cs="Arial"/>
      <w:b/>
      <w:bCs/>
      <w:color w:val="1F2F4F"/>
      <w:sz w:val="36"/>
      <w:szCs w:val="36"/>
    </w:rPr>
  </w:style>
  <w:style w:type="paragraph" w:styleId="Heading2">
    <w:name w:val="Heading 2"/>
    <w:basedOn w:val="Heading"/>
    <w:qFormat/>
    <w:pPr>
      <w:spacing w:before="280" w:after="160"/>
      <w:outlineLvl w:val="1"/>
    </w:pPr>
    <w:rPr>
      <w:rFonts w:ascii="Arial" w:hAnsi="Arial" w:eastAsia="Arial" w:cs="Arial"/>
      <w:b/>
      <w:bCs/>
      <w:color w:val="1F2F4F"/>
      <w:sz w:val="28"/>
      <w:szCs w:val="28"/>
    </w:rPr>
  </w:style>
  <w:style w:type="paragraph" w:styleId="Heading3">
    <w:name w:val="Heading 3"/>
    <w:basedOn w:val="Heading"/>
    <w:qFormat/>
    <w:pPr/>
    <w:rPr>
      <w:color w:val="1F4D78"/>
      <w:sz w:val="24"/>
      <w:szCs w:val="24"/>
    </w:rPr>
  </w:style>
  <w:style w:type="paragraph" w:styleId="Heading4">
    <w:name w:val="Heading 4"/>
    <w:basedOn w:val="Heading"/>
    <w:qFormat/>
    <w:pPr/>
    <w:rPr>
      <w:i/>
      <w:iCs/>
      <w:color w:val="2E74B5"/>
    </w:rPr>
  </w:style>
  <w:style w:type="paragraph" w:styleId="Heading5">
    <w:name w:val="Heading 5"/>
    <w:basedOn w:val="Heading"/>
    <w:qFormat/>
    <w:pPr/>
    <w:rPr>
      <w:color w:val="2E74B5"/>
    </w:rPr>
  </w:style>
  <w:style w:type="paragraph" w:styleId="Heading6">
    <w:name w:val="Heading 6"/>
    <w:basedOn w:val="Heading"/>
    <w:qFormat/>
    <w:pPr/>
    <w:rPr>
      <w:color w:val="1F4D78"/>
    </w:rPr>
  </w:style>
  <w:style w:type="character" w:styleId="Hyperlink">
    <w:name w:val="Hyperlink"/>
    <w:uiPriority w:val="99"/>
    <w:unhideWhenUsed/>
    <w:rPr>
      <w:color w:val="0563C1"/>
      <w:u w:val="single"/>
    </w:rPr>
  </w:style>
  <w:style w:type="character" w:styleId="FootnoteCharacters">
    <w:name w:val="Footnote Characters"/>
    <w:uiPriority w:val="99"/>
    <w:semiHidden/>
    <w:unhideWhenUsed/>
    <w:qFormat/>
    <w:rPr>
      <w:vertAlign w:val="superscript"/>
    </w:rPr>
  </w:style>
  <w:style w:type="character" w:styleId="FootnoteReference">
    <w:name w:val="Footnote Reference"/>
    <w:rPr>
      <w:vertAlign w:val="superscript"/>
    </w:rPr>
  </w:style>
  <w:style w:type="character" w:styleId="FootnoteTextChar">
    <w:name w:val="Footnote Text Char"/>
    <w:link w:val="FootnoteText"/>
    <w:uiPriority w:val="99"/>
    <w:semiHidden/>
    <w:unhideWhenUsed/>
    <w:qFormat/>
    <w:rPr>
      <w:sz w:val="20"/>
      <w:szCs w:val="20"/>
    </w:rPr>
  </w:style>
  <w:style w:type="character" w:styleId="EndnoteCharacters">
    <w:name w:val="Endnote Characters"/>
    <w:uiPriority w:val="99"/>
    <w:semiHidden/>
    <w:unhideWhenUsed/>
    <w:qFormat/>
    <w:rPr>
      <w:vertAlign w:val="superscript"/>
    </w:rPr>
  </w:style>
  <w:style w:type="character" w:styleId="EndnoteReference">
    <w:name w:val="Endnote Reference"/>
    <w:rPr>
      <w:vertAlign w:val="superscript"/>
    </w:rPr>
  </w:style>
  <w:style w:type="character" w:styleId="EndnoteTextChar">
    <w:name w:val="Endnote Text Char"/>
    <w:link w:val="EndnoteText"/>
    <w:uiPriority w:val="99"/>
    <w:semiHidden/>
    <w:unhideWhenUsed/>
    <w:qFormat/>
    <w:rPr>
      <w:sz w:val="20"/>
      <w:szCs w:val="20"/>
    </w:rPr>
  </w:style>
  <w:style w:type="character" w:styleId="LineNumber">
    <w:name w:val="Line Number"/>
    <w:rPr/>
  </w:style>
  <w:style w:type="paragraph" w:styleId="Heading">
    <w:name w:val="Heading"/>
    <w:basedOn w:val="Normal"/>
    <w:next w:val="BodyText"/>
    <w:qFormat/>
    <w:pPr>
      <w:keepNext w:val="true"/>
      <w:spacing w:before="240" w:after="120"/>
    </w:pPr>
    <w:rPr>
      <w:rFonts w:ascii="Liberation Sans" w:hAnsi="Liberation Sans" w:eastAsia="Noto Sans CJK SC" w:cs="FreeSans"/>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FreeSans"/>
    </w:rPr>
  </w:style>
  <w:style w:type="paragraph" w:styleId="Caption">
    <w:name w:val="Caption"/>
    <w:basedOn w:val="Normal"/>
    <w:qFormat/>
    <w:pPr>
      <w:suppressLineNumbers/>
      <w:spacing w:before="120" w:after="120"/>
    </w:pPr>
    <w:rPr>
      <w:rFonts w:cs="FreeSans"/>
      <w:i/>
      <w:iCs/>
      <w:sz w:val="24"/>
      <w:szCs w:val="24"/>
    </w:rPr>
  </w:style>
  <w:style w:type="paragraph" w:styleId="Index">
    <w:name w:val="Index"/>
    <w:basedOn w:val="Normal"/>
    <w:qFormat/>
    <w:pPr>
      <w:suppressLineNumbers/>
    </w:pPr>
    <w:rPr>
      <w:rFonts w:cs="FreeSans"/>
    </w:rPr>
  </w:style>
  <w:style w:type="paragraph" w:styleId="Title">
    <w:name w:val="Title"/>
    <w:basedOn w:val="Heading"/>
    <w:qFormat/>
    <w:pPr/>
    <w:rPr>
      <w:sz w:val="56"/>
      <w:szCs w:val="56"/>
    </w:rPr>
  </w:style>
  <w:style w:type="paragraph" w:styleId="StrongEmphasis">
    <w:name w:val="Strong Emphasis"/>
    <w:qFormat/>
    <w:pPr>
      <w:widowControl/>
      <w:bidi w:val="0"/>
      <w:spacing w:before="0" w:after="0"/>
      <w:jc w:val="left"/>
    </w:pPr>
    <w:rPr>
      <w:rFonts w:ascii="Arial" w:hAnsi="Arial" w:eastAsia="Arial" w:cs="Arial"/>
      <w:b/>
      <w:bCs/>
      <w:color w:val="auto"/>
      <w:kern w:val="0"/>
      <w:sz w:val="22"/>
      <w:szCs w:val="22"/>
      <w:lang w:val="en-US" w:eastAsia="zh-CN" w:bidi="hi-IN"/>
    </w:rPr>
  </w:style>
  <w:style w:type="paragraph" w:styleId="ListParagraph">
    <w:name w:val="List Paragraph"/>
    <w:qFormat/>
    <w:pPr>
      <w:widowControl/>
      <w:bidi w:val="0"/>
      <w:spacing w:before="0" w:after="0"/>
      <w:jc w:val="left"/>
    </w:pPr>
    <w:rPr>
      <w:rFonts w:ascii="Arial" w:hAnsi="Arial" w:eastAsia="Arial" w:cs="Arial"/>
      <w:color w:val="auto"/>
      <w:kern w:val="0"/>
      <w:sz w:val="22"/>
      <w:szCs w:val="22"/>
      <w:lang w:val="en-US" w:eastAsia="zh-CN" w:bidi="hi-IN"/>
    </w:rPr>
  </w:style>
  <w:style w:type="paragraph" w:styleId="FootnoteText">
    <w:name w:val="Footnote Text"/>
    <w:basedOn w:val="Normal"/>
    <w:link w:val="FootnoteTextChar"/>
    <w:uiPriority w:val="99"/>
    <w:semiHidden/>
    <w:unhideWhenUsed/>
    <w:pPr>
      <w:spacing w:lineRule="auto" w:line="240" w:before="0" w:after="0"/>
    </w:pPr>
    <w:rPr>
      <w:sz w:val="20"/>
      <w:szCs w:val="20"/>
    </w:rPr>
  </w:style>
  <w:style w:type="paragraph" w:styleId="EndnoteText">
    <w:name w:val="Endnote Text"/>
    <w:basedOn w:val="Normal"/>
    <w:link w:val="EndnoteTextChar"/>
    <w:uiPriority w:val="99"/>
    <w:semiHidden/>
    <w:unhideWhenUsed/>
    <w:pPr>
      <w:spacing w:lineRule="auto" w:line="240" w:before="0" w:after="0"/>
    </w:pPr>
    <w:rPr>
      <w:sz w:val="20"/>
      <w:szCs w:val="20"/>
    </w:rPr>
  </w:style>
  <w:style w:type="paragraph" w:styleId="HeaderandFooter">
    <w:name w:val="Header and Footer"/>
    <w:basedOn w:val="Normal"/>
    <w:qFormat/>
    <w:pPr/>
    <w:rPr/>
  </w:style>
  <w:style w:type="paragraph" w:styleId="Header">
    <w:name w:val="Header"/>
    <w:basedOn w:val="HeaderandFooter"/>
    <w:pPr/>
    <w:rPr/>
  </w:style>
  <w:style w:type="paragraph" w:styleId="Footer">
    <w:name w:val="Footer"/>
    <w:basedOn w:val="HeaderandFooter"/>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header" Target="header3.xml"/><Relationship Id="rId5" Type="http://schemas.openxmlformats.org/officeDocument/2006/relationships/footer" Target="footer1.xml"/><Relationship Id="rId6" Type="http://schemas.openxmlformats.org/officeDocument/2006/relationships/footer" Target="footer2.xml"/><Relationship Id="rId7" Type="http://schemas.openxmlformats.org/officeDocument/2006/relationships/footer" Target="footer3.xml"/><Relationship Id="rId8" Type="http://schemas.openxmlformats.org/officeDocument/2006/relationships/fontTable" Target="fontTable.xml"/><Relationship Id="rId9" Type="http://schemas.openxmlformats.org/officeDocument/2006/relationships/settings" Target="settings.xml"/><Relationship Id="rId10"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
  <TotalTime>0</TotalTime>
  <Application>LibreOffice/24.2.7.2$Linux_X86_64 LibreOffice_project/420$Build-2</Application>
  <AppVersion>15.0000</AppVersion>
  <Pages>8</Pages>
  <Words>721</Words>
  <Characters>4385</Characters>
  <CharactersWithSpaces>5068</CharactersWithSpaces>
  <Paragraphs>58</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2026-04-24T01:03:23Z</dcterms:created>
  <dc:creator>Timothy L. Goff</dc:creator>
  <dc:description>Advance Preview Edition for the 5th Annual Linehaul Summit</dc:description>
  <dc:language>en-US</dc:language>
  <cp:lastModifiedBy/>
  <dcterms:modified xsi:type="dcterms:W3CDTF">2026-04-30T02:22:46Z</dcterms:modified>
  <cp:revision>2</cp:revision>
  <dc:subject/>
  <dc:title>The Linehaul M&amp;A Blueprint — Advance Preview Edition</dc:title>
</cp:coreProperties>
</file>